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pPr>
        <w:adjustRightInd w:val="0"/>
        <w:snapToGrid w:val="0"/>
        <w:spacing w:line="300" w:lineRule="auto"/>
        <w:jc w:val="left"/>
        <w:rPr>
          <w:b/>
          <w:bCs/>
          <w:snapToGrid w:val="0"/>
          <w:kern w:val="0"/>
          <w:sz w:val="28"/>
          <w:szCs w:val="28"/>
        </w:rPr>
      </w:pPr>
      <w:r>
        <w:rPr>
          <w:b/>
          <w:bCs/>
          <w:snapToGrid w:val="0"/>
          <w:kern w:val="0"/>
          <w:sz w:val="28"/>
          <w:szCs w:val="28"/>
        </w:rPr>
        <w:pict>
          <v:shapetype id="_x0000_t202" coordsize="21600,21600" o:spt="202" path="m,l,21600r21600,l21600,xe">
            <v:stroke joinstyle="miter"/>
            <v:path gradientshapeok="t" o:connecttype="rect"/>
          </v:shapetype>
          <v:shape id="文本框 299" o:spid="_x0000_s1025" type="#_x0000_t202" style="height:46.8pt;margin-left:45.7pt;margin-top:-3.3pt;mso-height-relative:page;mso-width-relative:page;position:absolute;width:294.8pt;z-index:251658240" coordsize="21600,21600" filled="t" fillcolor="white" stroked="t">
            <v:stroke joinstyle="miter"/>
            <o:lock v:ext="edit" aspectratio="f"/>
            <v:textbox>
              <w:txbxContent>
                <w:p>
                  <w:pPr>
                    <w:spacing w:line="400" w:lineRule="exact"/>
                    <w:rPr>
                      <w:rFonts w:ascii="仿宋_GB2312" w:eastAsia="仿宋_GB2312"/>
                      <w:b/>
                      <w:sz w:val="26"/>
                      <w:szCs w:val="26"/>
                    </w:rPr>
                  </w:pPr>
                  <w:r>
                    <w:rPr>
                      <w:rFonts w:ascii="仿宋_GB2312" w:eastAsia="仿宋_GB2312" w:hint="eastAsia"/>
                      <w:b/>
                      <w:sz w:val="26"/>
                      <w:szCs w:val="26"/>
                    </w:rPr>
                    <w:t>深 圳 市 中 正 招 标 有 限 公 司</w:t>
                  </w:r>
                </w:p>
                <w:p>
                  <w:pPr>
                    <w:spacing w:line="400" w:lineRule="exact"/>
                    <w:rPr>
                      <w:rFonts w:ascii="仿宋_GB2312" w:eastAsia="仿宋_GB2312"/>
                      <w:sz w:val="22"/>
                    </w:rPr>
                  </w:pPr>
                  <w:r>
                    <w:rPr>
                      <w:rFonts w:ascii="仿宋_GB2312" w:eastAsia="仿宋_GB2312" w:hint="eastAsia"/>
                      <w:sz w:val="22"/>
                    </w:rPr>
                    <w:t>SHENZHEN ZHONGZHENG TENDERING CO.,LTD.</w:t>
                  </w:r>
                </w:p>
              </w:txbxContent>
            </v:textbox>
          </v:shape>
        </w:pict>
      </w:r>
      <w:r>
        <w:rPr>
          <w:b/>
          <w:kern w:val="0"/>
          <w:sz w:val="28"/>
          <w:szCs w:val="28"/>
        </w:rPr>
        <w:drawing>
          <wp:inline distT="0" distB="0" distL="114300" distR="114300">
            <wp:extent cx="571500" cy="495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5"/>
                    <a:stretch>
                      <a:fillRect/>
                    </a:stretch>
                  </pic:blipFill>
                  <pic:spPr>
                    <a:xfrm>
                      <a:off x="0" y="0"/>
                      <a:ext cx="571500" cy="495300"/>
                    </a:xfrm>
                    <a:prstGeom prst="rect">
                      <a:avLst/>
                    </a:prstGeom>
                    <a:noFill/>
                    <a:ln>
                      <a:noFill/>
                    </a:ln>
                  </pic:spPr>
                </pic:pic>
              </a:graphicData>
            </a:graphic>
          </wp:inline>
        </w:drawing>
      </w:r>
    </w:p>
    <w:p>
      <w:pPr>
        <w:ind w:left="-103" w:hanging="323" w:leftChars="-203" w:hangingChars="154"/>
        <w:rPr>
          <w:sz w:val="72"/>
          <w:szCs w:val="72"/>
        </w:rPr>
      </w:pPr>
    </w:p>
    <w:p>
      <w:pPr>
        <w:adjustRightInd w:val="0"/>
        <w:snapToGrid w:val="0"/>
        <w:spacing w:line="300" w:lineRule="auto"/>
        <w:jc w:val="left"/>
        <w:rPr>
          <w:b/>
          <w:bCs/>
          <w:snapToGrid w:val="0"/>
          <w:kern w:val="0"/>
          <w:sz w:val="28"/>
          <w:szCs w:val="28"/>
        </w:rPr>
      </w:pPr>
    </w:p>
    <w:p>
      <w:pPr>
        <w:adjustRightInd w:val="0"/>
        <w:snapToGrid w:val="0"/>
        <w:spacing w:line="300" w:lineRule="auto"/>
        <w:jc w:val="left"/>
        <w:rPr>
          <w:b/>
          <w:bCs/>
          <w:snapToGrid w:val="0"/>
          <w:kern w:val="0"/>
          <w:sz w:val="28"/>
          <w:szCs w:val="28"/>
        </w:rPr>
      </w:pPr>
    </w:p>
    <w:p>
      <w:pPr>
        <w:adjustRightInd w:val="0"/>
        <w:snapToGrid w:val="0"/>
        <w:spacing w:line="300" w:lineRule="auto"/>
        <w:jc w:val="center"/>
        <w:rPr>
          <w:rFonts w:ascii="宋体" w:eastAsia="宋体" w:hAnsi="宋体" w:hint="eastAsia"/>
          <w:b/>
          <w:snapToGrid w:val="0"/>
          <w:kern w:val="0"/>
          <w:sz w:val="70"/>
          <w:szCs w:val="70"/>
          <w:lang w:eastAsia="zh-CN"/>
        </w:rPr>
      </w:pPr>
      <w:r>
        <w:rPr>
          <w:rFonts w:ascii="宋体" w:eastAsia="宋体" w:hAnsi="宋体" w:hint="eastAsia"/>
          <w:b/>
          <w:bCs/>
          <w:snapToGrid w:val="0"/>
          <w:kern w:val="0"/>
          <w:sz w:val="70"/>
          <w:szCs w:val="70"/>
          <w:lang w:eastAsia="zh-CN"/>
        </w:rPr>
        <w:t>深圳市宝安区拘留所医疗服务</w:t>
      </w:r>
    </w:p>
    <w:p>
      <w:pPr>
        <w:adjustRightInd w:val="0"/>
        <w:snapToGrid w:val="0"/>
        <w:spacing w:line="300" w:lineRule="auto"/>
        <w:jc w:val="both"/>
        <w:rPr>
          <w:rFonts w:ascii="宋体" w:eastAsia="宋体" w:hAnsi="宋体"/>
          <w:b/>
          <w:snapToGrid w:val="0"/>
          <w:kern w:val="0"/>
          <w:sz w:val="44"/>
          <w:szCs w:val="44"/>
        </w:rPr>
      </w:pPr>
    </w:p>
    <w:p>
      <w:pPr>
        <w:adjustRightInd w:val="0"/>
        <w:snapToGrid w:val="0"/>
        <w:spacing w:line="300" w:lineRule="auto"/>
        <w:jc w:val="center"/>
        <w:rPr>
          <w:rFonts w:ascii="宋体" w:eastAsia="宋体" w:hAnsi="宋体"/>
          <w:b/>
          <w:snapToGrid w:val="0"/>
          <w:kern w:val="0"/>
          <w:sz w:val="44"/>
          <w:szCs w:val="44"/>
        </w:rPr>
      </w:pPr>
    </w:p>
    <w:p>
      <w:pPr>
        <w:adjustRightInd w:val="0"/>
        <w:snapToGrid w:val="0"/>
        <w:spacing w:line="300" w:lineRule="auto"/>
        <w:jc w:val="center"/>
        <w:rPr>
          <w:rFonts w:ascii="宋体" w:eastAsia="宋体" w:hAnsi="宋体"/>
          <w:b/>
          <w:snapToGrid w:val="0"/>
          <w:kern w:val="0"/>
          <w:sz w:val="90"/>
        </w:rPr>
      </w:pPr>
      <w:r>
        <w:rPr>
          <w:rFonts w:ascii="宋体" w:eastAsia="宋体" w:hAnsi="宋体" w:hint="eastAsia"/>
          <w:b/>
          <w:snapToGrid w:val="0"/>
          <w:kern w:val="0"/>
          <w:sz w:val="90"/>
        </w:rPr>
        <w:t>服务类招标文件</w:t>
      </w:r>
    </w:p>
    <w:p>
      <w:pPr>
        <w:adjustRightInd w:val="0"/>
        <w:snapToGrid w:val="0"/>
        <w:spacing w:line="300" w:lineRule="auto"/>
        <w:jc w:val="center"/>
        <w:rPr>
          <w:rFonts w:ascii="宋体" w:eastAsia="宋体" w:hAnsi="宋体"/>
          <w:b/>
          <w:snapToGrid w:val="0"/>
          <w:kern w:val="0"/>
          <w:sz w:val="32"/>
        </w:rPr>
      </w:pPr>
    </w:p>
    <w:p>
      <w:pPr>
        <w:adjustRightInd w:val="0"/>
        <w:snapToGrid w:val="0"/>
        <w:spacing w:line="300" w:lineRule="auto"/>
        <w:jc w:val="center"/>
        <w:rPr>
          <w:rFonts w:ascii="宋体" w:eastAsia="宋体" w:hAnsi="宋体" w:hint="eastAsia"/>
          <w:b/>
          <w:snapToGrid w:val="0"/>
          <w:kern w:val="0"/>
          <w:sz w:val="32"/>
          <w:lang w:eastAsia="zh-CN"/>
        </w:rPr>
      </w:pPr>
      <w:r>
        <w:rPr>
          <w:rFonts w:ascii="宋体" w:eastAsia="宋体" w:hAnsi="宋体" w:hint="eastAsia"/>
          <w:b/>
          <w:snapToGrid w:val="0"/>
          <w:kern w:val="0"/>
          <w:sz w:val="32"/>
        </w:rPr>
        <w:t>项目编号：</w:t>
      </w:r>
      <w:r>
        <w:rPr>
          <w:rFonts w:ascii="宋体" w:hAnsi="宋体" w:hint="eastAsia"/>
          <w:b/>
          <w:snapToGrid w:val="0"/>
          <w:kern w:val="0"/>
          <w:sz w:val="32"/>
          <w:lang w:eastAsia="zh-CN"/>
        </w:rPr>
        <w:t>BADL2026000016</w:t>
      </w:r>
    </w:p>
    <w:p>
      <w:pPr>
        <w:adjustRightInd w:val="0"/>
        <w:snapToGrid w:val="0"/>
        <w:spacing w:line="300" w:lineRule="auto"/>
        <w:jc w:val="center"/>
        <w:rPr>
          <w:rFonts w:ascii="宋体" w:eastAsia="宋体" w:hAnsi="宋体"/>
          <w:b/>
          <w:snapToGrid w:val="0"/>
          <w:kern w:val="0"/>
          <w:sz w:val="18"/>
          <w:szCs w:val="18"/>
        </w:rPr>
      </w:pPr>
    </w:p>
    <w:p>
      <w:pPr>
        <w:adjustRightInd w:val="0"/>
        <w:snapToGrid w:val="0"/>
        <w:spacing w:line="300" w:lineRule="auto"/>
        <w:jc w:val="center"/>
        <w:rPr>
          <w:rFonts w:ascii="宋体" w:eastAsia="宋体" w:hAnsi="宋体"/>
          <w:b/>
          <w:snapToGrid w:val="0"/>
          <w:kern w:val="0"/>
          <w:sz w:val="44"/>
        </w:rPr>
      </w:pPr>
    </w:p>
    <w:p>
      <w:pPr>
        <w:adjustRightInd w:val="0"/>
        <w:snapToGrid w:val="0"/>
        <w:spacing w:line="300" w:lineRule="auto"/>
        <w:jc w:val="center"/>
        <w:rPr>
          <w:rFonts w:ascii="宋体" w:eastAsia="宋体" w:hAnsi="宋体"/>
          <w:b/>
          <w:snapToGrid w:val="0"/>
          <w:kern w:val="0"/>
          <w:sz w:val="44"/>
        </w:rPr>
      </w:pPr>
      <w:r>
        <w:rPr>
          <w:rFonts w:ascii="宋体" w:eastAsia="宋体" w:hAnsi="宋体"/>
          <w:b/>
          <w:snapToGrid w:val="0"/>
          <w:kern w:val="0"/>
          <w:sz w:val="44"/>
        </w:rPr>
        <w:t xml:space="preserve"> </w:t>
      </w:r>
    </w:p>
    <w:p>
      <w:pPr>
        <w:pStyle w:val="Date"/>
        <w:adjustRightInd w:val="0"/>
        <w:snapToGrid w:val="0"/>
        <w:spacing w:line="300" w:lineRule="auto"/>
        <w:jc w:val="center"/>
        <w:rPr>
          <w:rFonts w:ascii="宋体" w:eastAsia="宋体" w:hAnsi="宋体"/>
          <w:b/>
          <w:snapToGrid w:val="0"/>
          <w:sz w:val="30"/>
        </w:rPr>
      </w:pPr>
    </w:p>
    <w:p>
      <w:pPr>
        <w:rPr>
          <w:rFonts w:ascii="宋体" w:eastAsia="宋体" w:hAnsi="宋体"/>
        </w:rPr>
      </w:pPr>
    </w:p>
    <w:p>
      <w:pPr>
        <w:rPr>
          <w:rFonts w:ascii="宋体" w:eastAsia="宋体" w:hAnsi="宋体"/>
        </w:rPr>
      </w:pPr>
    </w:p>
    <w:p>
      <w:pPr>
        <w:rPr>
          <w:rFonts w:ascii="宋体" w:eastAsia="宋体" w:hAnsi="宋体"/>
        </w:rPr>
      </w:pPr>
    </w:p>
    <w:p>
      <w:pPr>
        <w:pStyle w:val="Date"/>
        <w:adjustRightInd w:val="0"/>
        <w:snapToGrid w:val="0"/>
        <w:spacing w:line="300" w:lineRule="auto"/>
        <w:jc w:val="center"/>
        <w:rPr>
          <w:rFonts w:ascii="宋体" w:eastAsia="宋体" w:hAnsi="宋体"/>
          <w:b/>
          <w:bCs/>
          <w:sz w:val="44"/>
          <w:szCs w:val="44"/>
        </w:rPr>
      </w:pPr>
      <w:r>
        <w:rPr>
          <w:rFonts w:ascii="宋体" w:eastAsia="宋体" w:hAnsi="宋体" w:hint="eastAsia"/>
          <w:b/>
          <w:snapToGrid w:val="0"/>
          <w:sz w:val="30"/>
        </w:rPr>
        <w:t>二〇二</w:t>
      </w:r>
      <w:r>
        <w:rPr>
          <w:rFonts w:hAnsi="宋体" w:hint="eastAsia"/>
          <w:b/>
          <w:snapToGrid w:val="0"/>
          <w:sz w:val="30"/>
          <w:lang w:val="en-US" w:eastAsia="zh-CN"/>
        </w:rPr>
        <w:t>六</w:t>
      </w:r>
      <w:r>
        <w:rPr>
          <w:rFonts w:ascii="宋体" w:eastAsia="宋体" w:hAnsi="宋体" w:hint="eastAsia"/>
          <w:b/>
          <w:snapToGrid w:val="0"/>
          <w:sz w:val="30"/>
        </w:rPr>
        <w:t>年</w:t>
      </w:r>
      <w:r>
        <w:rPr>
          <w:rFonts w:hAnsi="宋体" w:hint="eastAsia"/>
          <w:b/>
          <w:snapToGrid w:val="0"/>
          <w:sz w:val="30"/>
          <w:lang w:val="en-US" w:eastAsia="zh-CN"/>
        </w:rPr>
        <w:t>一</w:t>
      </w:r>
      <w:r>
        <w:rPr>
          <w:rFonts w:ascii="宋体" w:eastAsia="宋体" w:hAnsi="宋体" w:hint="eastAsia"/>
          <w:b/>
          <w:snapToGrid w:val="0"/>
          <w:sz w:val="30"/>
        </w:rPr>
        <w:t>月</w:t>
      </w:r>
      <w:r>
        <w:rPr>
          <w:rFonts w:ascii="宋体" w:eastAsia="宋体" w:hAnsi="宋体" w:hint="eastAsia"/>
          <w:b/>
          <w:bCs/>
          <w:sz w:val="44"/>
          <w:szCs w:val="44"/>
        </w:rPr>
        <w:br w:type="page"/>
      </w:r>
      <w:r>
        <w:rPr>
          <w:rFonts w:ascii="宋体" w:eastAsia="宋体" w:hAnsi="宋体" w:hint="eastAsia"/>
          <w:b/>
          <w:bCs/>
          <w:sz w:val="44"/>
          <w:szCs w:val="44"/>
        </w:rPr>
        <w:t>特别警示条款</w:t>
      </w:r>
    </w:p>
    <w:p>
      <w:pPr>
        <w:spacing w:line="360" w:lineRule="auto"/>
        <w:ind w:firstLine="420" w:firstLineChars="200"/>
        <w:rPr>
          <w:rFonts w:ascii="仿宋" w:eastAsia="仿宋" w:hAnsi="仿宋"/>
          <w:sz w:val="24"/>
        </w:rPr>
      </w:pPr>
    </w:p>
    <w:p>
      <w:pPr>
        <w:spacing w:line="440" w:lineRule="exact"/>
        <w:ind w:firstLine="420" w:firstLineChars="200"/>
        <w:rPr>
          <w:rFonts w:ascii="宋体" w:eastAsia="宋体" w:hAnsi="宋体"/>
          <w:szCs w:val="21"/>
        </w:rPr>
      </w:pPr>
      <w:r>
        <w:rPr>
          <w:rFonts w:ascii="宋体" w:eastAsia="宋体" w:hAnsi="宋体" w:hint="eastAsia"/>
          <w:szCs w:val="21"/>
        </w:rPr>
        <w:t>一、《深圳经济特区政府采购条例》</w:t>
      </w:r>
    </w:p>
    <w:p>
      <w:pPr>
        <w:spacing w:line="440" w:lineRule="exact"/>
        <w:ind w:firstLine="420" w:firstLineChars="200"/>
        <w:rPr>
          <w:rFonts w:ascii="宋体" w:eastAsia="宋体" w:hAnsi="宋体"/>
          <w:szCs w:val="21"/>
        </w:rPr>
      </w:pPr>
      <w:r>
        <w:rPr>
          <w:rFonts w:ascii="宋体" w:eastAsia="宋体" w:hAnsi="宋体" w:hint="eastAsia"/>
          <w:szCs w:val="21"/>
        </w:rPr>
        <w:t>第五十七条</w:t>
      </w:r>
      <w:r>
        <w:rPr>
          <w:rFonts w:ascii="宋体" w:eastAsia="宋体" w:hAnsi="宋体"/>
          <w:szCs w:val="21"/>
        </w:rPr>
        <w:t xml:space="preserve"> </w:t>
      </w:r>
      <w:r>
        <w:rPr>
          <w:rFonts w:ascii="宋体" w:eastAsia="宋体" w:hAnsi="宋体" w:hint="eastAsia"/>
          <w:szCs w:val="21"/>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pacing w:line="440" w:lineRule="exact"/>
        <w:ind w:firstLine="420" w:firstLineChars="200"/>
        <w:rPr>
          <w:rFonts w:ascii="宋体" w:eastAsia="宋体" w:hAnsi="宋体"/>
          <w:szCs w:val="21"/>
        </w:rPr>
      </w:pPr>
      <w:r>
        <w:rPr>
          <w:rFonts w:ascii="宋体" w:eastAsia="宋体" w:hAnsi="宋体" w:hint="eastAsia"/>
          <w:szCs w:val="21"/>
        </w:rPr>
        <w:t>（一）在采购活动中应当回避而未回避的；</w:t>
      </w:r>
    </w:p>
    <w:p>
      <w:pPr>
        <w:spacing w:line="440" w:lineRule="exact"/>
        <w:ind w:firstLine="420" w:firstLineChars="200"/>
        <w:rPr>
          <w:rFonts w:ascii="宋体" w:eastAsia="宋体" w:hAnsi="宋体"/>
          <w:szCs w:val="21"/>
        </w:rPr>
      </w:pPr>
      <w:r>
        <w:rPr>
          <w:rFonts w:ascii="宋体" w:eastAsia="宋体" w:hAnsi="宋体" w:hint="eastAsia"/>
          <w:szCs w:val="21"/>
        </w:rPr>
        <w:t>（二）未按本条例规定签订、履行采购合同，造成严重后果的；</w:t>
      </w:r>
    </w:p>
    <w:p>
      <w:pPr>
        <w:spacing w:line="440" w:lineRule="exact"/>
        <w:ind w:firstLine="420" w:firstLineChars="200"/>
        <w:rPr>
          <w:rFonts w:ascii="宋体" w:eastAsia="宋体" w:hAnsi="宋体"/>
          <w:szCs w:val="21"/>
        </w:rPr>
      </w:pPr>
      <w:r>
        <w:rPr>
          <w:rFonts w:ascii="宋体" w:eastAsia="宋体" w:hAnsi="宋体" w:hint="eastAsia"/>
          <w:szCs w:val="21"/>
        </w:rPr>
        <w:t>（三）隐瞒真实情况，提供虚假资料的；</w:t>
      </w:r>
    </w:p>
    <w:p>
      <w:pPr>
        <w:spacing w:line="440" w:lineRule="exact"/>
        <w:ind w:firstLine="420" w:firstLineChars="200"/>
        <w:rPr>
          <w:rFonts w:ascii="宋体" w:eastAsia="宋体" w:hAnsi="宋体"/>
          <w:szCs w:val="21"/>
        </w:rPr>
      </w:pPr>
      <w:r>
        <w:rPr>
          <w:rFonts w:ascii="宋体" w:eastAsia="宋体" w:hAnsi="宋体" w:hint="eastAsia"/>
          <w:szCs w:val="21"/>
        </w:rPr>
        <w:t>（四）以非法手段排斥其他供应商参与竞争的；</w:t>
      </w:r>
    </w:p>
    <w:p>
      <w:pPr>
        <w:spacing w:line="440" w:lineRule="exact"/>
        <w:ind w:firstLine="420" w:firstLineChars="200"/>
        <w:rPr>
          <w:rFonts w:ascii="宋体" w:eastAsia="宋体" w:hAnsi="宋体"/>
          <w:szCs w:val="21"/>
        </w:rPr>
      </w:pPr>
      <w:r>
        <w:rPr>
          <w:rFonts w:ascii="宋体" w:eastAsia="宋体" w:hAnsi="宋体" w:hint="eastAsia"/>
          <w:szCs w:val="21"/>
        </w:rPr>
        <w:t>（五）与其他采购参加人串通投标的；</w:t>
      </w:r>
    </w:p>
    <w:p>
      <w:pPr>
        <w:spacing w:line="440" w:lineRule="exact"/>
        <w:ind w:firstLine="420" w:firstLineChars="200"/>
        <w:rPr>
          <w:rFonts w:ascii="宋体" w:eastAsia="宋体" w:hAnsi="宋体"/>
          <w:szCs w:val="21"/>
        </w:rPr>
      </w:pPr>
      <w:r>
        <w:rPr>
          <w:rFonts w:ascii="宋体" w:eastAsia="宋体" w:hAnsi="宋体" w:hint="eastAsia"/>
          <w:szCs w:val="21"/>
        </w:rPr>
        <w:t>（六）恶意投诉的；</w:t>
      </w:r>
    </w:p>
    <w:p>
      <w:pPr>
        <w:spacing w:line="440" w:lineRule="exact"/>
        <w:ind w:firstLine="420" w:firstLineChars="200"/>
        <w:rPr>
          <w:rFonts w:ascii="宋体" w:eastAsia="宋体" w:hAnsi="宋体"/>
          <w:szCs w:val="21"/>
        </w:rPr>
      </w:pPr>
      <w:r>
        <w:rPr>
          <w:rFonts w:ascii="宋体" w:eastAsia="宋体" w:hAnsi="宋体" w:hint="eastAsia"/>
          <w:szCs w:val="21"/>
        </w:rPr>
        <w:t>（七）向采购项目相关人行贿或者提供其他不当利益的；</w:t>
      </w:r>
    </w:p>
    <w:p>
      <w:pPr>
        <w:spacing w:line="440" w:lineRule="exact"/>
        <w:ind w:firstLine="420" w:firstLineChars="200"/>
        <w:rPr>
          <w:rFonts w:ascii="宋体" w:eastAsia="宋体" w:hAnsi="宋体"/>
          <w:szCs w:val="21"/>
        </w:rPr>
      </w:pPr>
      <w:r>
        <w:rPr>
          <w:rFonts w:ascii="宋体" w:eastAsia="宋体" w:hAnsi="宋体" w:hint="eastAsia"/>
          <w:szCs w:val="21"/>
        </w:rPr>
        <w:t>（八）阻碍、抗拒主管部门监督检查的；</w:t>
      </w:r>
    </w:p>
    <w:p>
      <w:pPr>
        <w:spacing w:line="440" w:lineRule="exact"/>
        <w:ind w:firstLine="420" w:firstLineChars="200"/>
        <w:rPr>
          <w:rFonts w:ascii="宋体" w:eastAsia="宋体" w:hAnsi="宋体"/>
          <w:szCs w:val="21"/>
        </w:rPr>
      </w:pPr>
      <w:r>
        <w:rPr>
          <w:rFonts w:ascii="宋体" w:eastAsia="宋体" w:hAnsi="宋体" w:hint="eastAsia"/>
          <w:szCs w:val="21"/>
        </w:rPr>
        <w:t>（九）其他违反本条例规定的行为。</w:t>
      </w:r>
    </w:p>
    <w:p>
      <w:pPr>
        <w:widowControl/>
        <w:spacing w:after="120"/>
        <w:jc w:val="left"/>
        <w:rPr>
          <w:rFonts w:ascii="Times New Roman" w:eastAsia="宋体" w:hAnsi="Times New Roman"/>
          <w:kern w:val="0"/>
          <w:sz w:val="24"/>
          <w:szCs w:val="24"/>
        </w:rPr>
      </w:pPr>
    </w:p>
    <w:p>
      <w:pPr>
        <w:spacing w:line="440" w:lineRule="exact"/>
        <w:ind w:firstLine="420" w:firstLineChars="200"/>
        <w:rPr>
          <w:rFonts w:ascii="宋体" w:eastAsia="宋体" w:hAnsi="宋体"/>
          <w:szCs w:val="21"/>
        </w:rPr>
      </w:pPr>
      <w:r>
        <w:rPr>
          <w:rFonts w:ascii="宋体" w:eastAsia="宋体" w:hAnsi="宋体" w:hint="eastAsia"/>
          <w:szCs w:val="21"/>
        </w:rPr>
        <w:t>二、《深圳经济特区政府采购条例实施细则》</w:t>
      </w:r>
    </w:p>
    <w:p>
      <w:pPr>
        <w:spacing w:line="440" w:lineRule="exact"/>
        <w:ind w:firstLine="420" w:firstLineChars="200"/>
        <w:rPr>
          <w:rFonts w:ascii="宋体" w:eastAsia="宋体" w:hAnsi="宋体"/>
          <w:b/>
          <w:color w:val="FF0000"/>
          <w:szCs w:val="21"/>
        </w:rPr>
      </w:pPr>
      <w:r>
        <w:rPr>
          <w:rFonts w:ascii="宋体" w:eastAsia="宋体" w:hAnsi="宋体" w:hint="eastAsia"/>
          <w:b/>
          <w:color w:val="FF0000"/>
          <w:szCs w:val="21"/>
        </w:rPr>
        <w:t>第七十五条 供应商有下列情形的，属于采购条例所称的串通投标行为，按照采购条例第五十七条有关规定处理：</w:t>
      </w:r>
    </w:p>
    <w:p>
      <w:pPr>
        <w:spacing w:line="440" w:lineRule="exact"/>
        <w:ind w:firstLine="420" w:firstLineChars="200"/>
        <w:rPr>
          <w:rFonts w:ascii="宋体" w:eastAsia="宋体" w:hAnsi="宋体"/>
          <w:b/>
          <w:color w:val="FF0000"/>
          <w:szCs w:val="21"/>
        </w:rPr>
      </w:pPr>
      <w:r>
        <w:rPr>
          <w:rFonts w:ascii="宋体" w:eastAsia="宋体" w:hAnsi="宋体" w:hint="eastAsia"/>
          <w:b/>
          <w:color w:val="FF0000"/>
          <w:szCs w:val="21"/>
        </w:rPr>
        <w:t>（一）投标供应商之间相互约定给予未中标的供应商利益补偿；</w:t>
      </w:r>
    </w:p>
    <w:p>
      <w:pPr>
        <w:spacing w:line="440" w:lineRule="exact"/>
        <w:ind w:firstLine="420" w:firstLineChars="200"/>
        <w:rPr>
          <w:rFonts w:ascii="宋体" w:eastAsia="宋体" w:hAnsi="宋体"/>
          <w:b/>
          <w:color w:val="FF0000"/>
          <w:szCs w:val="21"/>
        </w:rPr>
      </w:pPr>
      <w:r>
        <w:rPr>
          <w:rFonts w:ascii="宋体" w:eastAsia="宋体" w:hAnsi="宋体" w:hint="eastAsia"/>
          <w:b/>
          <w:color w:val="FF0000"/>
          <w:szCs w:val="21"/>
        </w:rPr>
        <w:t xml:space="preserve">（二）不同投标供应商的法定代表人、主要经营负责人、项目投标授权代表人、项目负责人、主要技术人员为同一人、属同一单位或者在同一单位缴纳社会保险；          </w:t>
      </w:r>
    </w:p>
    <w:p>
      <w:pPr>
        <w:spacing w:line="440" w:lineRule="exact"/>
        <w:ind w:firstLine="420" w:firstLineChars="200"/>
        <w:rPr>
          <w:rFonts w:ascii="宋体" w:eastAsia="宋体" w:hAnsi="宋体"/>
          <w:b/>
          <w:color w:val="FF0000"/>
          <w:szCs w:val="21"/>
        </w:rPr>
      </w:pPr>
      <w:r>
        <w:rPr>
          <w:rFonts w:ascii="宋体" w:eastAsia="宋体" w:hAnsi="宋体" w:hint="eastAsia"/>
          <w:b/>
          <w:color w:val="FF0000"/>
          <w:szCs w:val="21"/>
        </w:rPr>
        <w:t>（三）不同投标供应商的投标文件由同一单位或者同一人编制，或者由同一人分阶段参与编制的；</w:t>
      </w:r>
    </w:p>
    <w:p>
      <w:pPr>
        <w:spacing w:line="440" w:lineRule="exact"/>
        <w:ind w:firstLine="420" w:firstLineChars="200"/>
        <w:rPr>
          <w:rFonts w:ascii="宋体" w:eastAsia="宋体" w:hAnsi="宋体"/>
          <w:b/>
          <w:color w:val="FF0000"/>
          <w:szCs w:val="21"/>
        </w:rPr>
      </w:pPr>
      <w:r>
        <w:rPr>
          <w:rFonts w:ascii="宋体" w:eastAsia="宋体" w:hAnsi="宋体" w:hint="eastAsia"/>
          <w:b/>
          <w:color w:val="FF0000"/>
          <w:szCs w:val="21"/>
        </w:rPr>
        <w:t>（四）不同投标供应商的投标文件或部分投标文件相互混装；</w:t>
      </w:r>
    </w:p>
    <w:p>
      <w:pPr>
        <w:spacing w:line="440" w:lineRule="exact"/>
        <w:ind w:firstLine="420" w:firstLineChars="200"/>
        <w:rPr>
          <w:rFonts w:ascii="宋体" w:eastAsia="宋体" w:hAnsi="宋体"/>
          <w:b/>
          <w:color w:val="FF0000"/>
          <w:szCs w:val="21"/>
        </w:rPr>
      </w:pPr>
      <w:r>
        <w:rPr>
          <w:rFonts w:ascii="宋体" w:eastAsia="宋体" w:hAnsi="宋体" w:hint="eastAsia"/>
          <w:b/>
          <w:color w:val="FF0000"/>
          <w:szCs w:val="21"/>
        </w:rPr>
        <w:t>（五）不同投标供应商的投标文件内容存在非正常一致；</w:t>
      </w:r>
    </w:p>
    <w:p>
      <w:pPr>
        <w:spacing w:line="440" w:lineRule="exact"/>
        <w:ind w:firstLine="420" w:firstLineChars="200"/>
        <w:rPr>
          <w:rFonts w:ascii="宋体" w:eastAsia="宋体" w:hAnsi="宋体"/>
          <w:b/>
          <w:color w:val="FF0000"/>
          <w:szCs w:val="21"/>
        </w:rPr>
      </w:pPr>
      <w:r>
        <w:rPr>
          <w:rFonts w:ascii="宋体" w:eastAsia="宋体" w:hAnsi="宋体" w:hint="eastAsia"/>
          <w:b/>
          <w:color w:val="FF0000"/>
          <w:szCs w:val="21"/>
        </w:rPr>
        <w:t>（六）由同一单位工作人员为两家以上（含两家）供应商进行同一项投标活动的；</w:t>
      </w:r>
    </w:p>
    <w:p>
      <w:pPr>
        <w:spacing w:line="440" w:lineRule="exact"/>
        <w:ind w:firstLine="420" w:firstLineChars="200"/>
        <w:rPr>
          <w:rFonts w:ascii="宋体" w:eastAsia="宋体" w:hAnsi="宋体"/>
          <w:b/>
          <w:color w:val="FF0000"/>
          <w:szCs w:val="21"/>
        </w:rPr>
      </w:pPr>
      <w:r>
        <w:rPr>
          <w:rFonts w:ascii="宋体" w:eastAsia="宋体" w:hAnsi="宋体" w:hint="eastAsia"/>
          <w:b/>
          <w:color w:val="FF0000"/>
          <w:szCs w:val="21"/>
        </w:rPr>
        <w:t>（七）主管部门依照法律、法规认定的其他情形。</w:t>
      </w:r>
    </w:p>
    <w:p>
      <w:pPr>
        <w:spacing w:line="440" w:lineRule="exact"/>
        <w:ind w:firstLine="420" w:firstLineChars="200"/>
        <w:rPr>
          <w:rFonts w:ascii="宋体" w:eastAsia="宋体" w:hAnsi="宋体"/>
          <w:szCs w:val="21"/>
        </w:rPr>
      </w:pPr>
      <w:r>
        <w:rPr>
          <w:rFonts w:ascii="宋体" w:eastAsia="宋体" w:hAnsi="宋体" w:hint="eastAsia"/>
          <w:szCs w:val="21"/>
        </w:rPr>
        <w:t>第七十七条 供应商有下列情形之一的，属于隐瞒真实情况，提供虚假资料，按照采购条例第五十七的有关规定处理：</w:t>
      </w:r>
    </w:p>
    <w:p>
      <w:pPr>
        <w:spacing w:line="440" w:lineRule="exact"/>
        <w:ind w:firstLine="420" w:firstLineChars="200"/>
        <w:rPr>
          <w:rFonts w:ascii="宋体" w:eastAsia="宋体" w:hAnsi="宋体"/>
          <w:szCs w:val="21"/>
        </w:rPr>
      </w:pPr>
      <w:r>
        <w:rPr>
          <w:rFonts w:ascii="宋体" w:eastAsia="宋体" w:hAnsi="宋体" w:hint="eastAsia"/>
          <w:szCs w:val="21"/>
        </w:rPr>
        <w:t>（一）通过转让或者租借等方式从其他单位获取资格或者资质证书投标的；</w:t>
      </w:r>
    </w:p>
    <w:p>
      <w:pPr>
        <w:spacing w:line="440" w:lineRule="exact"/>
        <w:ind w:firstLine="420" w:firstLineChars="200"/>
        <w:rPr>
          <w:rFonts w:ascii="宋体" w:eastAsia="宋体" w:hAnsi="宋体"/>
          <w:szCs w:val="21"/>
        </w:rPr>
      </w:pPr>
      <w:r>
        <w:rPr>
          <w:rFonts w:ascii="宋体" w:eastAsia="宋体" w:hAnsi="宋体" w:hint="eastAsia"/>
          <w:szCs w:val="21"/>
        </w:rPr>
        <w:t>（二）由其他单位或者其他单位负责人在投标供应商编制的投标文件上加盖印章或者签字的；</w:t>
      </w:r>
    </w:p>
    <w:p>
      <w:pPr>
        <w:spacing w:line="440" w:lineRule="exact"/>
        <w:ind w:firstLine="420" w:firstLineChars="200"/>
        <w:rPr>
          <w:rFonts w:ascii="宋体" w:eastAsia="宋体" w:hAnsi="宋体"/>
          <w:szCs w:val="21"/>
        </w:rPr>
      </w:pPr>
      <w:r>
        <w:rPr>
          <w:rFonts w:ascii="宋体" w:eastAsia="宋体" w:hAnsi="宋体" w:hint="eastAsia"/>
          <w:szCs w:val="21"/>
        </w:rPr>
        <w:t>（三）项目负责人或者主要技术人员不是本单位人员的；</w:t>
      </w:r>
    </w:p>
    <w:p>
      <w:pPr>
        <w:spacing w:line="440" w:lineRule="exact"/>
        <w:ind w:firstLine="420" w:firstLineChars="200"/>
        <w:rPr>
          <w:rFonts w:ascii="宋体" w:eastAsia="宋体" w:hAnsi="宋体"/>
          <w:szCs w:val="21"/>
        </w:rPr>
      </w:pPr>
      <w:r>
        <w:rPr>
          <w:rFonts w:ascii="宋体" w:eastAsia="宋体" w:hAnsi="宋体" w:hint="eastAsia"/>
          <w:szCs w:val="21"/>
        </w:rPr>
        <w:t>（四）投标保证金不是从投标供应商基本账户转出的；</w:t>
      </w:r>
    </w:p>
    <w:p>
      <w:pPr>
        <w:spacing w:line="440" w:lineRule="exact"/>
        <w:ind w:firstLine="420" w:firstLineChars="200"/>
        <w:rPr>
          <w:rFonts w:ascii="宋体" w:eastAsia="宋体" w:hAnsi="宋体"/>
          <w:szCs w:val="21"/>
        </w:rPr>
      </w:pPr>
      <w:r>
        <w:rPr>
          <w:rFonts w:ascii="宋体" w:eastAsia="宋体" w:hAnsi="宋体" w:hint="eastAsia"/>
          <w:szCs w:val="21"/>
        </w:rPr>
        <w:t>（五）其他隐瞒真实情况、提供虚假资料的行为。</w:t>
      </w:r>
    </w:p>
    <w:p>
      <w:pPr>
        <w:spacing w:line="440" w:lineRule="exact"/>
        <w:ind w:firstLine="372" w:firstLineChars="177"/>
        <w:rPr>
          <w:rFonts w:ascii="宋体" w:eastAsia="宋体" w:hAnsi="宋体"/>
          <w:szCs w:val="21"/>
        </w:rPr>
      </w:pPr>
      <w:r>
        <w:rPr>
          <w:rFonts w:ascii="宋体" w:eastAsia="宋体" w:hAnsi="宋体" w:hint="eastAsia"/>
          <w:szCs w:val="21"/>
        </w:rPr>
        <w:t>投标供应商不能提供项目负责人或者主要技术人员的劳动合同、社会保险等劳动关系证明材料的，视为存在前款第（三）项规定的情形。</w:t>
      </w:r>
    </w:p>
    <w:p>
      <w:pPr>
        <w:widowControl/>
        <w:spacing w:after="120"/>
        <w:jc w:val="left"/>
        <w:rPr>
          <w:rFonts w:ascii="Times New Roman" w:eastAsia="宋体" w:hAnsi="Times New Roman"/>
          <w:kern w:val="0"/>
          <w:sz w:val="24"/>
          <w:szCs w:val="24"/>
        </w:rPr>
      </w:pPr>
    </w:p>
    <w:p>
      <w:pPr>
        <w:spacing w:line="440" w:lineRule="exact"/>
        <w:ind w:firstLine="420" w:firstLineChars="200"/>
        <w:rPr>
          <w:rFonts w:ascii="宋体" w:eastAsia="宋体" w:hAnsi="宋体"/>
          <w:szCs w:val="21"/>
        </w:rPr>
      </w:pPr>
      <w:r>
        <w:rPr>
          <w:rFonts w:ascii="宋体" w:eastAsia="宋体" w:hAnsi="宋体" w:hint="eastAsia"/>
          <w:szCs w:val="21"/>
        </w:rPr>
        <w:t>三、《中华人民共和国政府采购法实施条例》</w:t>
      </w:r>
    </w:p>
    <w:p>
      <w:pPr>
        <w:spacing w:line="440" w:lineRule="exact"/>
        <w:ind w:firstLine="372" w:firstLineChars="177"/>
        <w:rPr>
          <w:rFonts w:ascii="宋体" w:eastAsia="宋体" w:hAnsi="宋体"/>
          <w:szCs w:val="21"/>
        </w:rPr>
      </w:pPr>
      <w:r>
        <w:rPr>
          <w:rFonts w:ascii="宋体" w:eastAsia="宋体" w:hAnsi="宋体" w:hint="eastAsia"/>
          <w:szCs w:val="21"/>
        </w:rPr>
        <w:t>第十八条 单位负责人为同一人或者存在直接控股、管理关系的不同供应商，不得参加同一合同项下的政府采购活动。</w:t>
      </w:r>
    </w:p>
    <w:p>
      <w:pPr>
        <w:spacing w:line="440" w:lineRule="exact"/>
        <w:ind w:firstLine="372" w:firstLineChars="177"/>
        <w:rPr>
          <w:rFonts w:ascii="宋体" w:eastAsia="宋体" w:hAnsi="宋体" w:hint="eastAsia"/>
          <w:szCs w:val="21"/>
        </w:rPr>
      </w:pPr>
      <w:r>
        <w:rPr>
          <w:rFonts w:ascii="宋体" w:eastAsia="宋体" w:hAnsi="宋体" w:hint="eastAsia"/>
          <w:szCs w:val="21"/>
        </w:rPr>
        <w:t>除单一来源采购项目外，为采购项目提供整体设计、规范编制或者项目管理、监理、检测等服务的供应商，不得再参加该采购项目的其他采购活动。</w:t>
      </w:r>
    </w:p>
    <w:p>
      <w:pPr>
        <w:spacing w:line="440" w:lineRule="exact"/>
        <w:ind w:firstLine="372" w:firstLineChars="177"/>
        <w:rPr>
          <w:rFonts w:ascii="宋体" w:eastAsia="宋体" w:hAnsi="宋体" w:hint="eastAsia"/>
          <w:szCs w:val="21"/>
        </w:rPr>
      </w:pPr>
    </w:p>
    <w:p>
      <w:pPr>
        <w:spacing w:line="440" w:lineRule="exact"/>
        <w:ind w:left="0" w:firstLine="420" w:leftChars="0" w:firstLineChars="200"/>
        <w:rPr>
          <w:rFonts w:ascii="宋体" w:eastAsia="宋体" w:hAnsi="宋体" w:hint="eastAsia"/>
          <w:szCs w:val="21"/>
          <w:lang w:val="en-US" w:eastAsia="zh-CN"/>
        </w:rPr>
      </w:pPr>
      <w:r>
        <w:rPr>
          <w:rFonts w:ascii="宋体" w:eastAsia="宋体" w:hAnsi="宋体" w:hint="eastAsia"/>
          <w:szCs w:val="21"/>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11"/>
        <w:gridCol w:w="771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60"/>
          <w:jc w:val="center"/>
        </w:trPr>
        <w:tc>
          <w:tcPr>
            <w:tcW w:w="81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序号</w:t>
            </w:r>
          </w:p>
        </w:tc>
        <w:tc>
          <w:tcPr>
            <w:tcW w:w="771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供应商参与投标禁止情形</w:t>
            </w:r>
          </w:p>
        </w:tc>
      </w:tr>
      <w:tr>
        <w:tblPrEx>
          <w:tblW w:w="0" w:type="auto"/>
          <w:jc w:val="center"/>
          <w:tblLayout w:type="fixed"/>
          <w:tblCellMar>
            <w:top w:w="0" w:type="dxa"/>
            <w:left w:w="108" w:type="dxa"/>
            <w:bottom w:w="0" w:type="dxa"/>
            <w:right w:w="108" w:type="dxa"/>
          </w:tblCellMar>
        </w:tblPrEx>
        <w:trPr>
          <w:jc w:val="center"/>
        </w:trPr>
        <w:tc>
          <w:tcPr>
            <w:tcW w:w="81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1</w:t>
            </w:r>
          </w:p>
        </w:tc>
        <w:tc>
          <w:tcPr>
            <w:tcW w:w="771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auto"/>
                <w:sz w:val="21"/>
                <w:szCs w:val="21"/>
                <w:highlight w:val="none"/>
                <w:lang w:val="en-US" w:eastAsia="zh-CN"/>
              </w:rPr>
              <w:t>同一人、属同一单位或者在同一单位缴纳社会保险</w:t>
            </w:r>
            <w:r>
              <w:rPr>
                <w:rFonts w:ascii="宋体" w:eastAsia="宋体" w:hAnsi="宋体" w:cs="宋体" w:hint="eastAsia"/>
                <w:color w:val="auto"/>
                <w:sz w:val="21"/>
                <w:szCs w:val="21"/>
                <w:highlight w:val="none"/>
                <w:lang w:val="en-US" w:eastAsia="zh-CN"/>
              </w:rPr>
              <w:t>。</w:t>
            </w:r>
          </w:p>
        </w:tc>
      </w:tr>
      <w:tr>
        <w:tblPrEx>
          <w:tblW w:w="0" w:type="auto"/>
          <w:jc w:val="center"/>
          <w:tblLayout w:type="fixed"/>
          <w:tblCellMar>
            <w:top w:w="0" w:type="dxa"/>
            <w:left w:w="108" w:type="dxa"/>
            <w:bottom w:w="0" w:type="dxa"/>
            <w:right w:w="108" w:type="dxa"/>
          </w:tblCellMar>
        </w:tblPrEx>
        <w:trPr>
          <w:trHeight w:val="90"/>
          <w:jc w:val="center"/>
        </w:trPr>
        <w:tc>
          <w:tcPr>
            <w:tcW w:w="81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2</w:t>
            </w:r>
          </w:p>
        </w:tc>
        <w:tc>
          <w:tcPr>
            <w:tcW w:w="771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参与本项目政府采购活动时，与其他投标供应商存在单位负责人为</w:t>
            </w:r>
            <w:r>
              <w:rPr>
                <w:rFonts w:ascii="宋体" w:eastAsia="宋体" w:hAnsi="宋体" w:cs="宋体" w:hint="eastAsia"/>
                <w:b/>
                <w:bCs/>
                <w:color w:val="auto"/>
                <w:sz w:val="21"/>
                <w:szCs w:val="21"/>
                <w:highlight w:val="none"/>
                <w:lang w:val="en-US" w:eastAsia="zh-CN"/>
              </w:rPr>
              <w:t>同一人或直接控股、管理关系</w:t>
            </w:r>
            <w:r>
              <w:rPr>
                <w:rFonts w:ascii="宋体" w:eastAsia="宋体" w:hAnsi="宋体" w:cs="宋体" w:hint="eastAsia"/>
                <w:color w:val="auto"/>
                <w:sz w:val="21"/>
                <w:szCs w:val="21"/>
                <w:highlight w:val="none"/>
                <w:lang w:val="en-US" w:eastAsia="zh-CN"/>
              </w:rPr>
              <w:t>。</w:t>
            </w:r>
          </w:p>
        </w:tc>
      </w:tr>
      <w:tr>
        <w:tblPrEx>
          <w:tblW w:w="0" w:type="auto"/>
          <w:jc w:val="center"/>
          <w:tblLayout w:type="fixed"/>
          <w:tblCellMar>
            <w:top w:w="0" w:type="dxa"/>
            <w:left w:w="108" w:type="dxa"/>
            <w:bottom w:w="0" w:type="dxa"/>
            <w:right w:w="108" w:type="dxa"/>
          </w:tblCellMar>
        </w:tblPrEx>
        <w:trPr>
          <w:jc w:val="center"/>
        </w:trPr>
        <w:tc>
          <w:tcPr>
            <w:tcW w:w="81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3</w:t>
            </w:r>
          </w:p>
        </w:tc>
        <w:tc>
          <w:tcPr>
            <w:tcW w:w="771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与其他投标供应商的投标文件或部分投标文件</w:t>
            </w:r>
            <w:r>
              <w:rPr>
                <w:rFonts w:ascii="宋体" w:eastAsia="宋体" w:hAnsi="宋体" w:cs="宋体" w:hint="eastAsia"/>
                <w:b/>
                <w:bCs/>
                <w:color w:val="auto"/>
                <w:sz w:val="21"/>
                <w:szCs w:val="21"/>
                <w:highlight w:val="none"/>
                <w:lang w:val="en-US" w:eastAsia="zh-CN"/>
              </w:rPr>
              <w:t>相互混装或存在非正常一致</w:t>
            </w:r>
            <w:r>
              <w:rPr>
                <w:rFonts w:ascii="宋体" w:eastAsia="宋体" w:hAnsi="宋体" w:cs="宋体" w:hint="eastAsia"/>
                <w:color w:val="auto"/>
                <w:sz w:val="21"/>
                <w:szCs w:val="21"/>
                <w:highlight w:val="none"/>
                <w:lang w:val="en-US" w:eastAsia="zh-CN"/>
              </w:rPr>
              <w:t>。</w:t>
            </w:r>
          </w:p>
        </w:tc>
      </w:tr>
      <w:tr>
        <w:tblPrEx>
          <w:tblW w:w="0" w:type="auto"/>
          <w:jc w:val="center"/>
          <w:tblLayout w:type="fixed"/>
          <w:tblCellMar>
            <w:top w:w="0" w:type="dxa"/>
            <w:left w:w="108" w:type="dxa"/>
            <w:bottom w:w="0" w:type="dxa"/>
            <w:right w:w="108" w:type="dxa"/>
          </w:tblCellMar>
        </w:tblPrEx>
        <w:trPr>
          <w:trHeight w:val="958"/>
          <w:jc w:val="center"/>
        </w:trPr>
        <w:tc>
          <w:tcPr>
            <w:tcW w:w="81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4</w:t>
            </w:r>
          </w:p>
        </w:tc>
        <w:tc>
          <w:tcPr>
            <w:tcW w:w="771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与其他投标供应商的投标文件由</w:t>
            </w:r>
            <w:r>
              <w:rPr>
                <w:rFonts w:ascii="宋体" w:eastAsia="宋体" w:hAnsi="宋体" w:cs="宋体" w:hint="eastAsia"/>
                <w:b/>
                <w:bCs/>
                <w:color w:val="auto"/>
                <w:sz w:val="21"/>
                <w:szCs w:val="21"/>
                <w:highlight w:val="none"/>
                <w:lang w:val="en-US" w:eastAsia="zh-CN"/>
              </w:rPr>
              <w:t>同一单位或者同一人编制</w:t>
            </w:r>
            <w:r>
              <w:rPr>
                <w:rFonts w:ascii="宋体" w:eastAsia="宋体" w:hAnsi="宋体" w:cs="宋体" w:hint="eastAsia"/>
                <w:color w:val="auto"/>
                <w:sz w:val="21"/>
                <w:szCs w:val="21"/>
                <w:highlight w:val="none"/>
                <w:lang w:val="en-US" w:eastAsia="zh-CN"/>
              </w:rPr>
              <w:t>，或者使用</w:t>
            </w:r>
            <w:r>
              <w:rPr>
                <w:rFonts w:ascii="宋体" w:eastAsia="宋体" w:hAnsi="宋体" w:cs="宋体" w:hint="eastAsia"/>
                <w:b/>
                <w:bCs/>
                <w:color w:val="auto"/>
                <w:sz w:val="21"/>
                <w:szCs w:val="21"/>
                <w:highlight w:val="none"/>
                <w:lang w:val="en-US" w:eastAsia="zh-CN"/>
              </w:rPr>
              <w:t>同一设备编制</w:t>
            </w:r>
            <w:r>
              <w:rPr>
                <w:rFonts w:ascii="宋体" w:eastAsia="宋体" w:hAnsi="宋体" w:cs="宋体" w:hint="eastAsia"/>
                <w:color w:val="auto"/>
                <w:sz w:val="21"/>
                <w:szCs w:val="21"/>
                <w:highlight w:val="none"/>
                <w:lang w:val="en-US" w:eastAsia="zh-CN"/>
              </w:rPr>
              <w:t>（“文件制作机器码”“文件创建标识码”一致）。</w:t>
            </w:r>
          </w:p>
        </w:tc>
      </w:tr>
      <w:tr>
        <w:tblPrEx>
          <w:tblW w:w="0" w:type="auto"/>
          <w:jc w:val="center"/>
          <w:tblLayout w:type="fixed"/>
          <w:tblCellMar>
            <w:top w:w="0" w:type="dxa"/>
            <w:left w:w="108" w:type="dxa"/>
            <w:bottom w:w="0" w:type="dxa"/>
            <w:right w:w="108" w:type="dxa"/>
          </w:tblCellMar>
        </w:tblPrEx>
        <w:trPr>
          <w:trHeight w:val="744"/>
          <w:jc w:val="center"/>
        </w:trPr>
        <w:tc>
          <w:tcPr>
            <w:tcW w:w="81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5</w:t>
            </w:r>
          </w:p>
        </w:tc>
        <w:tc>
          <w:tcPr>
            <w:tcW w:w="771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提供</w:t>
            </w:r>
            <w:r>
              <w:rPr>
                <w:rFonts w:ascii="宋体" w:eastAsia="宋体" w:hAnsi="宋体" w:cs="宋体" w:hint="eastAsia"/>
                <w:b/>
                <w:bCs/>
                <w:color w:val="auto"/>
                <w:sz w:val="21"/>
                <w:szCs w:val="21"/>
                <w:highlight w:val="none"/>
                <w:lang w:val="en-US" w:eastAsia="zh-CN"/>
              </w:rPr>
              <w:t>未经出具机构核实</w:t>
            </w:r>
            <w:r>
              <w:rPr>
                <w:rFonts w:ascii="宋体" w:eastAsia="宋体" w:hAnsi="宋体" w:cs="宋体" w:hint="eastAsia"/>
                <w:color w:val="auto"/>
                <w:sz w:val="21"/>
                <w:szCs w:val="21"/>
                <w:highlight w:val="none"/>
                <w:lang w:val="en-US" w:eastAsia="zh-CN"/>
              </w:rPr>
              <w:t>的虚假的检验检测报告、业绩材料、社保缴纳证明、学历学位证书、职称认证证书等材料。</w:t>
            </w:r>
          </w:p>
        </w:tc>
      </w:tr>
      <w:tr>
        <w:tblPrEx>
          <w:tblW w:w="0" w:type="auto"/>
          <w:jc w:val="center"/>
          <w:tblLayout w:type="fixed"/>
          <w:tblCellMar>
            <w:top w:w="0" w:type="dxa"/>
            <w:left w:w="108" w:type="dxa"/>
            <w:bottom w:w="0" w:type="dxa"/>
            <w:right w:w="108" w:type="dxa"/>
          </w:tblCellMar>
        </w:tblPrEx>
        <w:trPr>
          <w:trHeight w:val="588"/>
          <w:jc w:val="center"/>
        </w:trPr>
        <w:tc>
          <w:tcPr>
            <w:tcW w:w="81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6</w:t>
            </w:r>
          </w:p>
        </w:tc>
        <w:tc>
          <w:tcPr>
            <w:tcW w:w="771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擅自将投标密钥</w:t>
            </w:r>
            <w:r>
              <w:rPr>
                <w:rFonts w:ascii="宋体" w:eastAsia="宋体" w:hAnsi="宋体" w:cs="宋体" w:hint="eastAsia"/>
                <w:color w:val="auto"/>
                <w:sz w:val="21"/>
                <w:szCs w:val="21"/>
                <w:highlight w:val="none"/>
                <w:lang w:eastAsia="zh-CN"/>
              </w:rPr>
              <w:t>或</w:t>
            </w:r>
            <w:r>
              <w:rPr>
                <w:rFonts w:ascii="宋体" w:eastAsia="宋体" w:hAnsi="宋体" w:cs="宋体" w:hint="eastAsia"/>
                <w:color w:val="auto"/>
                <w:sz w:val="21"/>
                <w:szCs w:val="21"/>
                <w:highlight w:val="none"/>
                <w:lang w:val="en-US" w:eastAsia="zh-CN"/>
              </w:rPr>
              <w:t>电子营业执照出借他人使用或未妥善保管。</w:t>
            </w:r>
          </w:p>
        </w:tc>
      </w:tr>
    </w:tbl>
    <w:p>
      <w:pPr>
        <w:widowControl/>
        <w:jc w:val="center"/>
        <w:rPr>
          <w:rFonts w:eastAsia="宋体" w:hint="eastAsia"/>
          <w:sz w:val="40"/>
          <w:szCs w:val="40"/>
          <w:lang w:eastAsia="zh-CN"/>
        </w:rPr>
      </w:pPr>
      <w:r>
        <w:rPr>
          <w:sz w:val="40"/>
          <w:szCs w:val="40"/>
        </w:rPr>
        <w:br w:type="page"/>
      </w:r>
      <w:r>
        <w:rPr>
          <w:rFonts w:hint="eastAsia"/>
          <w:sz w:val="40"/>
          <w:szCs w:val="40"/>
          <w:lang w:eastAsia="zh-CN"/>
        </w:rPr>
        <w:t>深圳市宝安区拘留所医疗服务</w:t>
      </w:r>
    </w:p>
    <w:p>
      <w:pPr>
        <w:pStyle w:val="NormalWeb"/>
        <w:jc w:val="center"/>
        <w:outlineLvl w:val="1"/>
        <w:rPr>
          <w:rFonts w:ascii="黑体" w:eastAsia="黑体" w:hAnsi="黑体"/>
          <w:sz w:val="40"/>
          <w:szCs w:val="40"/>
        </w:rPr>
      </w:pPr>
      <w:r>
        <w:rPr>
          <w:rFonts w:ascii="黑体" w:eastAsia="黑体" w:hAnsi="黑体" w:hint="eastAsia"/>
          <w:sz w:val="40"/>
          <w:szCs w:val="40"/>
        </w:rPr>
        <w:t>招标文件信息</w:t>
      </w:r>
    </w:p>
    <w:tbl>
      <w:tblPr>
        <w:tblStyle w:val="TableNormal"/>
        <w:tblW w:w="0" w:type="auto"/>
        <w:jc w:val="center"/>
        <w:tblCellSpacing w:w="0" w:type="dxa"/>
        <w:tblLayout w:type="fixed"/>
        <w:tblCellMar>
          <w:top w:w="45" w:type="dxa"/>
          <w:left w:w="45" w:type="dxa"/>
          <w:bottom w:w="45" w:type="dxa"/>
          <w:right w:w="45" w:type="dxa"/>
        </w:tblCellMar>
      </w:tblPr>
      <w:tblGrid>
        <w:gridCol w:w="2722"/>
        <w:gridCol w:w="5216"/>
      </w:tblGrid>
      <w:tr>
        <w:tblPrEx>
          <w:tblW w:w="0" w:type="auto"/>
          <w:jc w:val="center"/>
          <w:tblCellSpacing w:w="0" w:type="dxa"/>
          <w:tblLayout w:type="fixed"/>
          <w:tblCellMar>
            <w:top w:w="45" w:type="dxa"/>
            <w:left w:w="45" w:type="dxa"/>
            <w:bottom w:w="45" w:type="dxa"/>
            <w:right w:w="45" w:type="dxa"/>
          </w:tblCellMar>
        </w:tblPrEx>
        <w:trPr>
          <w:trHeight w:val="737"/>
          <w:tblCellSpacing w:w="0" w:type="dxa"/>
          <w:jc w:val="center"/>
        </w:trPr>
        <w:tc>
          <w:tcPr>
            <w:tcW w:w="2722" w:type="dxa"/>
            <w:noWrap w:val="0"/>
            <w:vAlign w:val="center"/>
          </w:tcPr>
          <w:p>
            <w:pPr>
              <w:jc w:val="right"/>
              <w:rPr>
                <w:rFonts w:ascii="宋体" w:eastAsia="宋体" w:hAnsi="宋体" w:cs="宋体"/>
                <w:sz w:val="30"/>
                <w:szCs w:val="30"/>
              </w:rPr>
            </w:pPr>
            <w:r>
              <w:rPr>
                <w:rFonts w:ascii="宋体" w:eastAsia="宋体" w:hAnsi="宋体"/>
                <w:sz w:val="30"/>
                <w:szCs w:val="30"/>
              </w:rPr>
              <w:t>项目编号：</w:t>
            </w:r>
          </w:p>
        </w:tc>
        <w:tc>
          <w:tcPr>
            <w:tcW w:w="5216" w:type="dxa"/>
            <w:noWrap w:val="0"/>
            <w:vAlign w:val="center"/>
          </w:tcPr>
          <w:p>
            <w:pPr>
              <w:rPr>
                <w:rFonts w:ascii="宋体" w:eastAsia="宋体" w:hAnsi="宋体" w:cs="宋体" w:hint="eastAsia"/>
                <w:sz w:val="30"/>
                <w:szCs w:val="30"/>
                <w:lang w:eastAsia="zh-CN"/>
              </w:rPr>
            </w:pPr>
            <w:r>
              <w:rPr>
                <w:rFonts w:ascii="宋体" w:hAnsi="宋体" w:hint="eastAsia"/>
                <w:sz w:val="30"/>
                <w:szCs w:val="30"/>
                <w:lang w:eastAsia="zh-CN"/>
              </w:rPr>
              <w:t>BADL2026000016</w:t>
            </w:r>
          </w:p>
        </w:tc>
      </w:tr>
      <w:tr>
        <w:tblPrEx>
          <w:tblW w:w="0" w:type="auto"/>
          <w:jc w:val="center"/>
          <w:tblCellSpacing w:w="0" w:type="dxa"/>
          <w:tblLayout w:type="fixed"/>
          <w:tblCellMar>
            <w:top w:w="45" w:type="dxa"/>
            <w:left w:w="45" w:type="dxa"/>
            <w:bottom w:w="45" w:type="dxa"/>
            <w:right w:w="45" w:type="dxa"/>
          </w:tblCellMar>
        </w:tblPrEx>
        <w:trPr>
          <w:trHeight w:val="737"/>
          <w:tblCellSpacing w:w="0" w:type="dxa"/>
          <w:jc w:val="center"/>
        </w:trPr>
        <w:tc>
          <w:tcPr>
            <w:tcW w:w="2722" w:type="dxa"/>
            <w:noWrap w:val="0"/>
            <w:vAlign w:val="center"/>
          </w:tcPr>
          <w:p>
            <w:pPr>
              <w:jc w:val="right"/>
              <w:rPr>
                <w:rFonts w:ascii="宋体" w:eastAsia="宋体" w:hAnsi="宋体" w:cs="宋体"/>
                <w:sz w:val="30"/>
                <w:szCs w:val="30"/>
              </w:rPr>
            </w:pPr>
            <w:r>
              <w:rPr>
                <w:rFonts w:ascii="宋体" w:eastAsia="宋体" w:hAnsi="宋体"/>
                <w:sz w:val="30"/>
                <w:szCs w:val="30"/>
              </w:rPr>
              <w:t>项目名称：</w:t>
            </w:r>
          </w:p>
        </w:tc>
        <w:tc>
          <w:tcPr>
            <w:tcW w:w="5216" w:type="dxa"/>
            <w:noWrap w:val="0"/>
            <w:vAlign w:val="center"/>
          </w:tcPr>
          <w:p>
            <w:pPr>
              <w:rPr>
                <w:rFonts w:ascii="宋体" w:eastAsia="宋体" w:hAnsi="宋体" w:cs="宋体" w:hint="eastAsia"/>
                <w:sz w:val="30"/>
                <w:szCs w:val="30"/>
                <w:lang w:eastAsia="zh-CN"/>
              </w:rPr>
            </w:pPr>
            <w:r>
              <w:rPr>
                <w:rFonts w:ascii="宋体" w:eastAsia="宋体" w:hAnsi="宋体" w:hint="eastAsia"/>
                <w:sz w:val="30"/>
                <w:szCs w:val="30"/>
                <w:lang w:eastAsia="zh-CN"/>
              </w:rPr>
              <w:t>深圳市宝安区拘留所医疗服务</w:t>
            </w:r>
          </w:p>
        </w:tc>
      </w:tr>
      <w:tr>
        <w:tblPrEx>
          <w:tblW w:w="0" w:type="auto"/>
          <w:jc w:val="center"/>
          <w:tblCellSpacing w:w="0" w:type="dxa"/>
          <w:tblLayout w:type="fixed"/>
          <w:tblCellMar>
            <w:top w:w="45" w:type="dxa"/>
            <w:left w:w="45" w:type="dxa"/>
            <w:bottom w:w="45" w:type="dxa"/>
            <w:right w:w="45" w:type="dxa"/>
          </w:tblCellMar>
        </w:tblPrEx>
        <w:trPr>
          <w:trHeight w:val="737"/>
          <w:tblCellSpacing w:w="0" w:type="dxa"/>
          <w:jc w:val="center"/>
        </w:trPr>
        <w:tc>
          <w:tcPr>
            <w:tcW w:w="2722" w:type="dxa"/>
            <w:noWrap w:val="0"/>
            <w:vAlign w:val="center"/>
          </w:tcPr>
          <w:p>
            <w:pPr>
              <w:jc w:val="right"/>
              <w:rPr>
                <w:rFonts w:ascii="宋体" w:eastAsia="宋体" w:hAnsi="宋体" w:cs="宋体"/>
                <w:sz w:val="30"/>
                <w:szCs w:val="30"/>
              </w:rPr>
            </w:pPr>
            <w:r>
              <w:rPr>
                <w:rFonts w:ascii="宋体" w:eastAsia="宋体" w:hAnsi="宋体"/>
                <w:sz w:val="30"/>
                <w:szCs w:val="30"/>
              </w:rPr>
              <w:t>包 号：</w:t>
            </w:r>
          </w:p>
        </w:tc>
        <w:tc>
          <w:tcPr>
            <w:tcW w:w="5216" w:type="dxa"/>
            <w:noWrap w:val="0"/>
            <w:vAlign w:val="center"/>
          </w:tcPr>
          <w:p>
            <w:pPr>
              <w:rPr>
                <w:rFonts w:ascii="宋体" w:eastAsia="宋体" w:hAnsi="宋体" w:cs="宋体"/>
                <w:sz w:val="30"/>
                <w:szCs w:val="30"/>
              </w:rPr>
            </w:pPr>
            <w:r>
              <w:rPr>
                <w:rFonts w:ascii="宋体" w:eastAsia="宋体" w:hAnsi="宋体"/>
                <w:sz w:val="30"/>
                <w:szCs w:val="30"/>
              </w:rPr>
              <w:t>A</w:t>
            </w:r>
          </w:p>
        </w:tc>
      </w:tr>
      <w:tr>
        <w:tblPrEx>
          <w:tblW w:w="0" w:type="auto"/>
          <w:jc w:val="center"/>
          <w:tblCellSpacing w:w="0" w:type="dxa"/>
          <w:tblLayout w:type="fixed"/>
          <w:tblCellMar>
            <w:top w:w="45" w:type="dxa"/>
            <w:left w:w="45" w:type="dxa"/>
            <w:bottom w:w="45" w:type="dxa"/>
            <w:right w:w="45" w:type="dxa"/>
          </w:tblCellMar>
        </w:tblPrEx>
        <w:trPr>
          <w:trHeight w:val="737"/>
          <w:tblCellSpacing w:w="0" w:type="dxa"/>
          <w:jc w:val="center"/>
        </w:trPr>
        <w:tc>
          <w:tcPr>
            <w:tcW w:w="2722" w:type="dxa"/>
            <w:noWrap w:val="0"/>
            <w:vAlign w:val="center"/>
          </w:tcPr>
          <w:p>
            <w:pPr>
              <w:jc w:val="right"/>
              <w:rPr>
                <w:rFonts w:ascii="宋体" w:eastAsia="宋体" w:hAnsi="宋体" w:cs="宋体"/>
                <w:sz w:val="30"/>
                <w:szCs w:val="30"/>
              </w:rPr>
            </w:pPr>
            <w:r>
              <w:rPr>
                <w:rFonts w:ascii="宋体" w:eastAsia="宋体" w:hAnsi="宋体"/>
                <w:sz w:val="30"/>
                <w:szCs w:val="30"/>
              </w:rPr>
              <w:t>项目类型：</w:t>
            </w:r>
          </w:p>
        </w:tc>
        <w:tc>
          <w:tcPr>
            <w:tcW w:w="5216" w:type="dxa"/>
            <w:noWrap w:val="0"/>
            <w:vAlign w:val="center"/>
          </w:tcPr>
          <w:p>
            <w:pPr>
              <w:rPr>
                <w:rFonts w:ascii="宋体" w:eastAsia="宋体" w:hAnsi="宋体" w:cs="宋体"/>
                <w:sz w:val="30"/>
                <w:szCs w:val="30"/>
              </w:rPr>
            </w:pPr>
            <w:r>
              <w:rPr>
                <w:rFonts w:ascii="宋体" w:eastAsia="宋体" w:hAnsi="宋体"/>
                <w:sz w:val="30"/>
                <w:szCs w:val="30"/>
              </w:rPr>
              <w:t>服务类</w:t>
            </w:r>
          </w:p>
        </w:tc>
      </w:tr>
      <w:tr>
        <w:tblPrEx>
          <w:tblW w:w="0" w:type="auto"/>
          <w:jc w:val="center"/>
          <w:tblCellSpacing w:w="0" w:type="dxa"/>
          <w:tblLayout w:type="fixed"/>
          <w:tblCellMar>
            <w:top w:w="45" w:type="dxa"/>
            <w:left w:w="45" w:type="dxa"/>
            <w:bottom w:w="45" w:type="dxa"/>
            <w:right w:w="45" w:type="dxa"/>
          </w:tblCellMar>
        </w:tblPrEx>
        <w:trPr>
          <w:trHeight w:val="737"/>
          <w:tblCellSpacing w:w="0" w:type="dxa"/>
          <w:jc w:val="center"/>
        </w:trPr>
        <w:tc>
          <w:tcPr>
            <w:tcW w:w="2722" w:type="dxa"/>
            <w:noWrap w:val="0"/>
            <w:vAlign w:val="center"/>
          </w:tcPr>
          <w:p>
            <w:pPr>
              <w:jc w:val="right"/>
              <w:rPr>
                <w:rFonts w:ascii="宋体" w:eastAsia="宋体" w:hAnsi="宋体" w:cs="宋体"/>
                <w:sz w:val="30"/>
                <w:szCs w:val="30"/>
              </w:rPr>
            </w:pPr>
            <w:r>
              <w:rPr>
                <w:rFonts w:ascii="宋体" w:eastAsia="宋体" w:hAnsi="宋体"/>
                <w:sz w:val="30"/>
                <w:szCs w:val="30"/>
              </w:rPr>
              <w:t>采购方式：</w:t>
            </w:r>
          </w:p>
        </w:tc>
        <w:tc>
          <w:tcPr>
            <w:tcW w:w="5216" w:type="dxa"/>
            <w:noWrap w:val="0"/>
            <w:vAlign w:val="center"/>
          </w:tcPr>
          <w:p>
            <w:pPr>
              <w:rPr>
                <w:rFonts w:ascii="宋体" w:eastAsia="宋体" w:hAnsi="宋体" w:cs="宋体"/>
                <w:sz w:val="30"/>
                <w:szCs w:val="30"/>
              </w:rPr>
            </w:pPr>
            <w:r>
              <w:rPr>
                <w:rFonts w:ascii="宋体" w:eastAsia="宋体" w:hAnsi="宋体"/>
                <w:sz w:val="30"/>
                <w:szCs w:val="30"/>
              </w:rPr>
              <w:t>公开招标</w:t>
            </w:r>
          </w:p>
        </w:tc>
      </w:tr>
      <w:tr>
        <w:tblPrEx>
          <w:tblW w:w="0" w:type="auto"/>
          <w:jc w:val="center"/>
          <w:tblCellSpacing w:w="0" w:type="dxa"/>
          <w:tblLayout w:type="fixed"/>
          <w:tblCellMar>
            <w:top w:w="45" w:type="dxa"/>
            <w:left w:w="45" w:type="dxa"/>
            <w:bottom w:w="45" w:type="dxa"/>
            <w:right w:w="45" w:type="dxa"/>
          </w:tblCellMar>
        </w:tblPrEx>
        <w:trPr>
          <w:trHeight w:val="737"/>
          <w:tblCellSpacing w:w="0" w:type="dxa"/>
          <w:jc w:val="center"/>
        </w:trPr>
        <w:tc>
          <w:tcPr>
            <w:tcW w:w="2722" w:type="dxa"/>
            <w:noWrap w:val="0"/>
            <w:vAlign w:val="center"/>
          </w:tcPr>
          <w:p>
            <w:pPr>
              <w:jc w:val="right"/>
              <w:rPr>
                <w:rFonts w:ascii="宋体" w:hAnsi="宋体" w:cs="宋体"/>
                <w:sz w:val="30"/>
                <w:szCs w:val="30"/>
              </w:rPr>
            </w:pPr>
            <w:r>
              <w:rPr>
                <w:sz w:val="30"/>
                <w:szCs w:val="30"/>
              </w:rPr>
              <w:t>货币类型：</w:t>
            </w:r>
          </w:p>
        </w:tc>
        <w:tc>
          <w:tcPr>
            <w:tcW w:w="5216" w:type="dxa"/>
            <w:noWrap w:val="0"/>
            <w:vAlign w:val="center"/>
          </w:tcPr>
          <w:p>
            <w:pPr>
              <w:rPr>
                <w:rFonts w:ascii="宋体" w:hAnsi="宋体" w:cs="宋体"/>
                <w:sz w:val="30"/>
                <w:szCs w:val="30"/>
              </w:rPr>
            </w:pPr>
            <w:r>
              <w:rPr>
                <w:sz w:val="30"/>
                <w:szCs w:val="30"/>
              </w:rPr>
              <w:t>人民币</w:t>
            </w:r>
          </w:p>
        </w:tc>
      </w:tr>
      <w:tr>
        <w:tblPrEx>
          <w:tblW w:w="0" w:type="auto"/>
          <w:jc w:val="center"/>
          <w:tblCellSpacing w:w="0" w:type="dxa"/>
          <w:tblLayout w:type="fixed"/>
          <w:tblCellMar>
            <w:top w:w="45" w:type="dxa"/>
            <w:left w:w="45" w:type="dxa"/>
            <w:bottom w:w="45" w:type="dxa"/>
            <w:right w:w="45" w:type="dxa"/>
          </w:tblCellMar>
        </w:tblPrEx>
        <w:trPr>
          <w:trHeight w:val="737"/>
          <w:tblCellSpacing w:w="0" w:type="dxa"/>
          <w:jc w:val="center"/>
        </w:trPr>
        <w:tc>
          <w:tcPr>
            <w:tcW w:w="2722" w:type="dxa"/>
            <w:noWrap w:val="0"/>
            <w:vAlign w:val="center"/>
          </w:tcPr>
          <w:p>
            <w:pPr>
              <w:jc w:val="right"/>
              <w:rPr>
                <w:rFonts w:ascii="宋体" w:hAnsi="宋体" w:cs="宋体"/>
                <w:sz w:val="30"/>
                <w:szCs w:val="30"/>
              </w:rPr>
            </w:pPr>
            <w:r>
              <w:rPr>
                <w:sz w:val="30"/>
                <w:szCs w:val="30"/>
              </w:rPr>
              <w:t>评标方法：</w:t>
            </w:r>
          </w:p>
        </w:tc>
        <w:tc>
          <w:tcPr>
            <w:tcW w:w="5216" w:type="dxa"/>
            <w:noWrap w:val="0"/>
            <w:vAlign w:val="center"/>
          </w:tcPr>
          <w:p>
            <w:pPr>
              <w:rPr>
                <w:rFonts w:ascii="宋体" w:hAnsi="宋体" w:cs="宋体"/>
                <w:sz w:val="30"/>
                <w:szCs w:val="30"/>
              </w:rPr>
            </w:pPr>
            <w:r>
              <w:rPr>
                <w:sz w:val="30"/>
                <w:szCs w:val="30"/>
              </w:rPr>
              <w:t>综合评分法（新价格分算法）</w:t>
            </w:r>
          </w:p>
        </w:tc>
      </w:tr>
    </w:tbl>
    <w:p>
      <w:pPr>
        <w:pStyle w:val="NormalWeb"/>
        <w:jc w:val="center"/>
        <w:outlineLvl w:val="1"/>
        <w:rPr>
          <w:rFonts w:ascii="黑体" w:eastAsia="黑体" w:hAnsi="黑体"/>
          <w:sz w:val="40"/>
          <w:szCs w:val="40"/>
        </w:rPr>
      </w:pPr>
      <w:r>
        <w:rPr>
          <w:rFonts w:ascii="黑体" w:eastAsia="黑体" w:hAnsi="黑体" w:hint="eastAsia"/>
          <w:sz w:val="40"/>
          <w:szCs w:val="40"/>
        </w:rPr>
        <w:t>资格性审查表</w:t>
      </w:r>
    </w:p>
    <w:tbl>
      <w:tblPr>
        <w:tblStyle w:val="TableNormal"/>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94"/>
        <w:gridCol w:w="8278"/>
      </w:tblGrid>
      <w:tr>
        <w:tblPrEx>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jc w:val="center"/>
              <w:rPr>
                <w:rFonts w:ascii="宋体" w:eastAsia="宋体" w:hAnsi="宋体" w:cs="宋体" w:hint="eastAsia"/>
                <w:sz w:val="28"/>
                <w:szCs w:val="28"/>
              </w:rPr>
            </w:pPr>
            <w:r>
              <w:rPr>
                <w:rFonts w:ascii="宋体" w:eastAsia="宋体" w:hAnsi="宋体" w:cs="宋体" w:hint="eastAsia"/>
                <w:sz w:val="28"/>
                <w:szCs w:val="28"/>
              </w:rPr>
              <w:t>序号</w:t>
            </w:r>
          </w:p>
        </w:tc>
        <w:tc>
          <w:tcPr>
            <w:tcW w:w="8278" w:type="dxa"/>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jc w:val="center"/>
              <w:rPr>
                <w:rFonts w:ascii="宋体" w:eastAsia="宋体" w:hAnsi="宋体" w:cs="宋体" w:hint="eastAsia"/>
                <w:sz w:val="28"/>
                <w:szCs w:val="28"/>
              </w:rPr>
            </w:pPr>
            <w:r>
              <w:rPr>
                <w:rFonts w:ascii="宋体" w:eastAsia="宋体" w:hAnsi="宋体" w:cs="宋体" w:hint="eastAsia"/>
                <w:sz w:val="28"/>
                <w:szCs w:val="28"/>
              </w:rPr>
              <w:t>内容</w:t>
            </w:r>
          </w:p>
        </w:tc>
      </w:tr>
      <w:tr>
        <w:tblPrEx>
          <w:tblW w:w="0" w:type="auto"/>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noWrap w:val="0"/>
            <w:vAlign w:val="center"/>
          </w:tcPr>
          <w:p>
            <w:pPr>
              <w:jc w:val="center"/>
              <w:rPr>
                <w:rFonts w:ascii="宋体" w:eastAsia="宋体" w:hAnsi="宋体" w:cs="宋体" w:hint="eastAsia"/>
                <w:szCs w:val="21"/>
              </w:rPr>
            </w:pPr>
            <w:r>
              <w:rPr>
                <w:rFonts w:ascii="宋体" w:eastAsia="宋体" w:hAnsi="宋体" w:cs="宋体" w:hint="eastAsia"/>
                <w:szCs w:val="21"/>
              </w:rPr>
              <w:t>1</w:t>
            </w:r>
          </w:p>
        </w:tc>
        <w:tc>
          <w:tcPr>
            <w:tcW w:w="8278" w:type="dxa"/>
            <w:tcBorders>
              <w:top w:val="single" w:sz="8" w:space="0" w:color="000000"/>
              <w:left w:val="single" w:sz="8" w:space="0" w:color="000000"/>
              <w:bottom w:val="single" w:sz="8" w:space="0" w:color="000000"/>
              <w:right w:val="single" w:sz="8" w:space="0" w:color="000000"/>
            </w:tcBorders>
            <w:noWrap w:val="0"/>
            <w:vAlign w:val="top"/>
          </w:tcPr>
          <w:p>
            <w:pPr>
              <w:rPr>
                <w:rFonts w:ascii="宋体" w:eastAsia="宋体" w:hAnsi="宋体" w:cs="宋体" w:hint="eastAsia"/>
                <w:szCs w:val="21"/>
              </w:rPr>
            </w:pPr>
            <w:r>
              <w:rPr>
                <w:rFonts w:ascii="宋体" w:eastAsia="宋体" w:hAnsi="宋体" w:cs="宋体" w:hint="eastAsia"/>
                <w:szCs w:val="21"/>
              </w:rPr>
              <w:t>投标人具备招标文件所列的资格要求，且提交相应的资格证明资料（详见招标公告</w:t>
            </w:r>
            <w:r>
              <w:rPr>
                <w:rFonts w:ascii="宋体" w:eastAsia="宋体" w:hAnsi="宋体" w:cs="宋体" w:hint="eastAsia"/>
              </w:rPr>
              <w:t>申请人的资格要求</w:t>
            </w:r>
            <w:r>
              <w:rPr>
                <w:rFonts w:ascii="宋体" w:eastAsia="宋体" w:hAnsi="宋体" w:cs="宋体" w:hint="eastAsia"/>
                <w:szCs w:val="21"/>
              </w:rPr>
              <w:t>）</w:t>
            </w:r>
          </w:p>
        </w:tc>
      </w:tr>
    </w:tbl>
    <w:p>
      <w:pPr>
        <w:pStyle w:val="NormalWeb"/>
        <w:spacing w:before="280" w:beforeAutospacing="0"/>
        <w:jc w:val="center"/>
        <w:outlineLvl w:val="1"/>
        <w:rPr>
          <w:rFonts w:ascii="黑体" w:eastAsia="黑体" w:hAnsi="黑体"/>
          <w:sz w:val="40"/>
          <w:szCs w:val="40"/>
        </w:rPr>
      </w:pPr>
      <w:r>
        <w:rPr>
          <w:rFonts w:ascii="黑体" w:eastAsia="黑体" w:hAnsi="黑体" w:hint="eastAsia"/>
          <w:sz w:val="40"/>
          <w:szCs w:val="40"/>
        </w:rPr>
        <w:t>符合性审查表</w:t>
      </w:r>
    </w:p>
    <w:tbl>
      <w:tblPr>
        <w:tblStyle w:val="TableNormal"/>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94"/>
        <w:gridCol w:w="8278"/>
      </w:tblGrid>
      <w:tr>
        <w:tblPrEx>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jc w:val="center"/>
              <w:rPr>
                <w:rFonts w:ascii="宋体" w:eastAsia="宋体" w:hAnsi="宋体" w:cs="宋体" w:hint="eastAsia"/>
                <w:sz w:val="28"/>
                <w:szCs w:val="28"/>
              </w:rPr>
            </w:pPr>
            <w:r>
              <w:rPr>
                <w:rFonts w:ascii="宋体" w:eastAsia="宋体" w:hAnsi="宋体" w:cs="宋体" w:hint="eastAsia"/>
                <w:sz w:val="28"/>
                <w:szCs w:val="28"/>
              </w:rPr>
              <w:t>序号</w:t>
            </w:r>
          </w:p>
        </w:tc>
        <w:tc>
          <w:tcPr>
            <w:tcW w:w="8278" w:type="dxa"/>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jc w:val="center"/>
              <w:rPr>
                <w:rFonts w:ascii="宋体" w:eastAsia="宋体" w:hAnsi="宋体" w:cs="宋体" w:hint="eastAsia"/>
                <w:sz w:val="28"/>
                <w:szCs w:val="28"/>
              </w:rPr>
            </w:pPr>
            <w:r>
              <w:rPr>
                <w:rFonts w:ascii="宋体" w:eastAsia="宋体" w:hAnsi="宋体" w:cs="宋体" w:hint="eastAsia"/>
                <w:sz w:val="28"/>
                <w:szCs w:val="28"/>
              </w:rPr>
              <w:t>内容</w:t>
            </w:r>
          </w:p>
        </w:tc>
      </w:tr>
      <w:tr>
        <w:tblPrEx>
          <w:tblW w:w="0" w:type="auto"/>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noWrap w:val="0"/>
            <w:vAlign w:val="center"/>
          </w:tcPr>
          <w:p>
            <w:pPr>
              <w:jc w:val="center"/>
              <w:rPr>
                <w:rFonts w:ascii="宋体" w:eastAsia="宋体" w:hAnsi="宋体" w:cs="宋体" w:hint="eastAsia"/>
                <w:szCs w:val="21"/>
              </w:rPr>
            </w:pPr>
            <w:r>
              <w:rPr>
                <w:rFonts w:ascii="宋体" w:eastAsia="宋体" w:hAnsi="宋体" w:cs="宋体" w:hint="eastAsia"/>
                <w:szCs w:val="21"/>
              </w:rPr>
              <w:t>1</w:t>
            </w:r>
          </w:p>
        </w:tc>
        <w:tc>
          <w:tcPr>
            <w:tcW w:w="8278" w:type="dxa"/>
            <w:tcBorders>
              <w:top w:val="single" w:sz="8" w:space="0" w:color="000000"/>
              <w:left w:val="single" w:sz="8" w:space="0" w:color="000000"/>
              <w:bottom w:val="single" w:sz="8" w:space="0" w:color="000000"/>
              <w:right w:val="single" w:sz="8" w:space="0" w:color="000000"/>
            </w:tcBorders>
            <w:noWrap w:val="0"/>
            <w:vAlign w:val="top"/>
          </w:tcPr>
          <w:p>
            <w:pPr>
              <w:rPr>
                <w:rFonts w:ascii="宋体" w:eastAsia="宋体" w:hAnsi="宋体" w:cs="宋体" w:hint="eastAsia"/>
                <w:szCs w:val="21"/>
              </w:rPr>
            </w:pPr>
            <w:r>
              <w:rPr>
                <w:rFonts w:ascii="宋体" w:eastAsia="宋体" w:hAnsi="宋体" w:cs="宋体" w:hint="eastAsia"/>
                <w:szCs w:val="21"/>
              </w:rPr>
              <w:t>未将一个包或一个标段的内容拆开投标</w:t>
            </w:r>
          </w:p>
        </w:tc>
      </w:tr>
      <w:tr>
        <w:tblPrEx>
          <w:tblW w:w="0" w:type="auto"/>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noWrap w:val="0"/>
            <w:vAlign w:val="center"/>
          </w:tcPr>
          <w:p>
            <w:pPr>
              <w:jc w:val="center"/>
              <w:rPr>
                <w:rFonts w:ascii="宋体" w:eastAsia="宋体" w:hAnsi="宋体" w:cs="宋体" w:hint="eastAsia"/>
                <w:szCs w:val="21"/>
              </w:rPr>
            </w:pPr>
            <w:r>
              <w:rPr>
                <w:rFonts w:ascii="宋体" w:eastAsia="宋体" w:hAnsi="宋体" w:cs="宋体" w:hint="eastAsia"/>
                <w:szCs w:val="21"/>
              </w:rPr>
              <w:t>2</w:t>
            </w:r>
          </w:p>
        </w:tc>
        <w:tc>
          <w:tcPr>
            <w:tcW w:w="8278" w:type="dxa"/>
            <w:tcBorders>
              <w:top w:val="single" w:sz="8" w:space="0" w:color="000000"/>
              <w:left w:val="single" w:sz="8" w:space="0" w:color="000000"/>
              <w:bottom w:val="single" w:sz="8" w:space="0" w:color="000000"/>
              <w:right w:val="single" w:sz="8" w:space="0" w:color="000000"/>
            </w:tcBorders>
            <w:noWrap w:val="0"/>
            <w:vAlign w:val="top"/>
          </w:tcPr>
          <w:p>
            <w:pPr>
              <w:rPr>
                <w:rFonts w:ascii="宋体" w:eastAsia="宋体" w:hAnsi="宋体" w:cs="宋体" w:hint="eastAsia"/>
                <w:szCs w:val="21"/>
              </w:rPr>
            </w:pPr>
            <w:r>
              <w:rPr>
                <w:rFonts w:ascii="宋体" w:eastAsia="宋体" w:hAnsi="宋体" w:cs="宋体" w:hint="eastAsia"/>
                <w:szCs w:val="21"/>
              </w:rPr>
              <w:t>对同一项目投标时，未提供两套及以上的投标方案（招标文件另有规定的除外）</w:t>
            </w:r>
          </w:p>
        </w:tc>
      </w:tr>
      <w:tr>
        <w:tblPrEx>
          <w:tblW w:w="0" w:type="auto"/>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noWrap w:val="0"/>
            <w:vAlign w:val="center"/>
          </w:tcPr>
          <w:p>
            <w:pPr>
              <w:jc w:val="center"/>
              <w:rPr>
                <w:rFonts w:ascii="宋体" w:eastAsia="宋体" w:hAnsi="宋体" w:cs="宋体" w:hint="eastAsia"/>
                <w:szCs w:val="21"/>
              </w:rPr>
            </w:pPr>
            <w:r>
              <w:rPr>
                <w:rFonts w:ascii="宋体" w:eastAsia="宋体" w:hAnsi="宋体" w:cs="宋体" w:hint="eastAsia"/>
                <w:szCs w:val="21"/>
              </w:rPr>
              <w:t>3</w:t>
            </w:r>
          </w:p>
        </w:tc>
        <w:tc>
          <w:tcPr>
            <w:tcW w:w="8278" w:type="dxa"/>
            <w:tcBorders>
              <w:top w:val="single" w:sz="8" w:space="0" w:color="000000"/>
              <w:left w:val="single" w:sz="8" w:space="0" w:color="000000"/>
              <w:bottom w:val="single" w:sz="8" w:space="0" w:color="000000"/>
              <w:right w:val="single" w:sz="8" w:space="0" w:color="000000"/>
            </w:tcBorders>
            <w:noWrap w:val="0"/>
            <w:vAlign w:val="top"/>
          </w:tcPr>
          <w:p>
            <w:pPr>
              <w:rPr>
                <w:rFonts w:ascii="宋体" w:eastAsia="宋体" w:hAnsi="宋体" w:cs="宋体" w:hint="eastAsia"/>
                <w:szCs w:val="21"/>
              </w:rPr>
            </w:pPr>
            <w:r>
              <w:rPr>
                <w:rFonts w:ascii="宋体" w:eastAsia="宋体" w:hAnsi="宋体" w:cs="宋体" w:hint="eastAsia"/>
                <w:szCs w:val="21"/>
              </w:rPr>
              <w:t>分项报价或投标总价未超过相应预算金额或最高投标限价</w:t>
            </w:r>
          </w:p>
        </w:tc>
      </w:tr>
      <w:tr>
        <w:tblPrEx>
          <w:tblW w:w="0" w:type="auto"/>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noWrap w:val="0"/>
            <w:vAlign w:val="center"/>
          </w:tcPr>
          <w:p>
            <w:pPr>
              <w:jc w:val="center"/>
              <w:rPr>
                <w:rFonts w:ascii="宋体" w:eastAsia="宋体" w:hAnsi="宋体" w:cs="宋体" w:hint="eastAsia"/>
                <w:szCs w:val="21"/>
              </w:rPr>
            </w:pPr>
            <w:r>
              <w:rPr>
                <w:rFonts w:ascii="宋体" w:eastAsia="宋体" w:hAnsi="宋体" w:cs="宋体" w:hint="eastAsia"/>
                <w:szCs w:val="21"/>
              </w:rPr>
              <w:t>4</w:t>
            </w:r>
          </w:p>
        </w:tc>
        <w:tc>
          <w:tcPr>
            <w:tcW w:w="8278" w:type="dxa"/>
            <w:tcBorders>
              <w:top w:val="single" w:sz="8" w:space="0" w:color="000000"/>
              <w:left w:val="single" w:sz="8" w:space="0" w:color="000000"/>
              <w:bottom w:val="single" w:sz="8" w:space="0" w:color="000000"/>
              <w:right w:val="single" w:sz="8" w:space="0" w:color="000000"/>
            </w:tcBorders>
            <w:noWrap w:val="0"/>
            <w:vAlign w:val="top"/>
          </w:tcPr>
          <w:p>
            <w:pPr>
              <w:rPr>
                <w:rFonts w:ascii="宋体" w:eastAsia="宋体" w:hAnsi="宋体" w:cs="宋体" w:hint="eastAsia"/>
                <w:szCs w:val="21"/>
              </w:rPr>
            </w:pPr>
            <w:r>
              <w:rPr>
                <w:rFonts w:ascii="宋体" w:eastAsia="宋体" w:hAnsi="宋体" w:cs="宋体" w:hint="eastAsia"/>
                <w:szCs w:val="21"/>
              </w:rPr>
              <w:t>如评标委员会认为投标人的报价明显低于其他通过符合性审查投标人的报价，有可能影响产品质量或者不能诚信履约的，应当要求其在评标现场合理的时间内提供书面说明，必要时提交相关证明材料；投标人应证明其报价合理性（评审委员会成员对投标人提供的说明材料判断不一致的，按照“少数服从多数”的原则确定评审委员会的意见）</w:t>
            </w:r>
          </w:p>
        </w:tc>
      </w:tr>
      <w:tr>
        <w:tblPrEx>
          <w:tblW w:w="0" w:type="auto"/>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noWrap w:val="0"/>
            <w:vAlign w:val="center"/>
          </w:tcPr>
          <w:p>
            <w:pPr>
              <w:jc w:val="center"/>
              <w:rPr>
                <w:rFonts w:ascii="宋体" w:eastAsia="宋体" w:hAnsi="宋体" w:cs="宋体" w:hint="eastAsia"/>
                <w:szCs w:val="21"/>
              </w:rPr>
            </w:pPr>
            <w:r>
              <w:rPr>
                <w:rFonts w:ascii="宋体" w:eastAsia="宋体" w:hAnsi="宋体" w:cs="宋体" w:hint="eastAsia"/>
                <w:szCs w:val="21"/>
              </w:rPr>
              <w:t>5</w:t>
            </w:r>
          </w:p>
        </w:tc>
        <w:tc>
          <w:tcPr>
            <w:tcW w:w="8278" w:type="dxa"/>
            <w:tcBorders>
              <w:top w:val="single" w:sz="8" w:space="0" w:color="000000"/>
              <w:left w:val="single" w:sz="8" w:space="0" w:color="000000"/>
              <w:bottom w:val="single" w:sz="8" w:space="0" w:color="000000"/>
              <w:right w:val="single" w:sz="8" w:space="0" w:color="000000"/>
            </w:tcBorders>
            <w:noWrap w:val="0"/>
            <w:vAlign w:val="top"/>
          </w:tcPr>
          <w:p>
            <w:pPr>
              <w:rPr>
                <w:rFonts w:ascii="宋体" w:eastAsia="宋体" w:hAnsi="宋体" w:cs="宋体" w:hint="eastAsia"/>
                <w:szCs w:val="21"/>
              </w:rPr>
            </w:pPr>
            <w:r>
              <w:rPr>
                <w:rFonts w:ascii="宋体" w:eastAsia="宋体" w:hAnsi="宋体" w:cs="宋体" w:hint="eastAsia"/>
                <w:szCs w:val="21"/>
              </w:rPr>
              <w:t xml:space="preserve">投标报价满足招标文件报价要求且无缺漏项目 </w:t>
            </w:r>
          </w:p>
        </w:tc>
      </w:tr>
      <w:tr>
        <w:tblPrEx>
          <w:tblW w:w="0" w:type="auto"/>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noWrap w:val="0"/>
            <w:vAlign w:val="center"/>
          </w:tcPr>
          <w:p>
            <w:pPr>
              <w:jc w:val="center"/>
              <w:rPr>
                <w:rFonts w:ascii="宋体" w:eastAsia="宋体" w:hAnsi="宋体" w:cs="宋体" w:hint="eastAsia"/>
                <w:szCs w:val="21"/>
              </w:rPr>
            </w:pPr>
            <w:r>
              <w:rPr>
                <w:rFonts w:ascii="宋体" w:eastAsia="宋体" w:hAnsi="宋体" w:cs="宋体" w:hint="eastAsia"/>
                <w:szCs w:val="21"/>
              </w:rPr>
              <w:t>6</w:t>
            </w:r>
          </w:p>
        </w:tc>
        <w:tc>
          <w:tcPr>
            <w:tcW w:w="8278" w:type="dxa"/>
            <w:tcBorders>
              <w:top w:val="single" w:sz="8" w:space="0" w:color="000000"/>
              <w:left w:val="single" w:sz="8" w:space="0" w:color="000000"/>
              <w:bottom w:val="single" w:sz="8" w:space="0" w:color="000000"/>
              <w:right w:val="single" w:sz="8" w:space="0" w:color="000000"/>
            </w:tcBorders>
            <w:noWrap w:val="0"/>
            <w:vAlign w:val="top"/>
          </w:tcPr>
          <w:p>
            <w:pPr>
              <w:rPr>
                <w:rFonts w:ascii="宋体" w:eastAsia="宋体" w:hAnsi="宋体" w:cs="宋体" w:hint="eastAsia"/>
                <w:szCs w:val="21"/>
              </w:rPr>
            </w:pPr>
            <w:r>
              <w:rPr>
                <w:rFonts w:ascii="宋体" w:eastAsia="宋体" w:hAnsi="宋体" w:cs="宋体" w:hint="eastAsia"/>
                <w:szCs w:val="21"/>
              </w:rPr>
              <w:t>投标文件不存在</w:t>
            </w:r>
            <w:r>
              <w:rPr>
                <w:rFonts w:ascii="宋体" w:eastAsia="宋体" w:hAnsi="宋体" w:cs="宋体" w:hint="eastAsia"/>
              </w:rPr>
              <w:t>对招标文件规定的货物或服务或工程量清单的项目或数量进行修改，评标委员会判定投标响应不满足采购需求的情形</w:t>
            </w:r>
          </w:p>
        </w:tc>
      </w:tr>
      <w:tr>
        <w:tblPrEx>
          <w:tblW w:w="0" w:type="auto"/>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noWrap w:val="0"/>
            <w:vAlign w:val="center"/>
          </w:tcPr>
          <w:p>
            <w:pPr>
              <w:jc w:val="center"/>
              <w:rPr>
                <w:rFonts w:ascii="宋体" w:eastAsia="宋体" w:hAnsi="宋体" w:cs="宋体" w:hint="eastAsia"/>
                <w:szCs w:val="21"/>
              </w:rPr>
            </w:pPr>
            <w:r>
              <w:rPr>
                <w:rFonts w:ascii="宋体" w:eastAsia="宋体" w:hAnsi="宋体" w:cs="宋体" w:hint="eastAsia"/>
                <w:szCs w:val="21"/>
              </w:rPr>
              <w:t>7</w:t>
            </w:r>
          </w:p>
        </w:tc>
        <w:tc>
          <w:tcPr>
            <w:tcW w:w="8278" w:type="dxa"/>
            <w:tcBorders>
              <w:top w:val="single" w:sz="8" w:space="0" w:color="000000"/>
              <w:left w:val="single" w:sz="8" w:space="0" w:color="000000"/>
              <w:bottom w:val="single" w:sz="8" w:space="0" w:color="000000"/>
              <w:right w:val="single" w:sz="8" w:space="0" w:color="000000"/>
            </w:tcBorders>
            <w:noWrap w:val="0"/>
            <w:vAlign w:val="top"/>
          </w:tcPr>
          <w:p>
            <w:pPr>
              <w:rPr>
                <w:rFonts w:ascii="宋体" w:eastAsia="宋体" w:hAnsi="宋体" w:cs="宋体" w:hint="eastAsia"/>
                <w:szCs w:val="21"/>
              </w:rPr>
            </w:pPr>
            <w:r>
              <w:rPr>
                <w:rFonts w:ascii="宋体" w:eastAsia="宋体" w:hAnsi="宋体" w:cs="宋体" w:hint="eastAsia"/>
                <w:szCs w:val="21"/>
              </w:rPr>
              <w:t>所投产品、工程、服务在商务、技术等方面实质性满足招标文件要求（是否实质性满足招标文件要求，由评标委员会根据《实质性条款响应情况表》做出评判）</w:t>
            </w:r>
          </w:p>
        </w:tc>
      </w:tr>
      <w:tr>
        <w:tblPrEx>
          <w:tblW w:w="0" w:type="auto"/>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noWrap w:val="0"/>
            <w:vAlign w:val="center"/>
          </w:tcPr>
          <w:p>
            <w:pPr>
              <w:jc w:val="center"/>
              <w:rPr>
                <w:rFonts w:ascii="宋体" w:eastAsia="宋体" w:hAnsi="宋体" w:cs="宋体" w:hint="eastAsia"/>
                <w:szCs w:val="21"/>
              </w:rPr>
            </w:pPr>
            <w:r>
              <w:rPr>
                <w:rFonts w:ascii="宋体" w:eastAsia="宋体" w:hAnsi="宋体" w:cs="宋体" w:hint="eastAsia"/>
                <w:szCs w:val="21"/>
              </w:rPr>
              <w:t>8</w:t>
            </w:r>
          </w:p>
        </w:tc>
        <w:tc>
          <w:tcPr>
            <w:tcW w:w="8278" w:type="dxa"/>
            <w:tcBorders>
              <w:top w:val="single" w:sz="8" w:space="0" w:color="000000"/>
              <w:left w:val="single" w:sz="8" w:space="0" w:color="000000"/>
              <w:bottom w:val="single" w:sz="8" w:space="0" w:color="000000"/>
              <w:right w:val="single" w:sz="8" w:space="0" w:color="000000"/>
            </w:tcBorders>
            <w:noWrap w:val="0"/>
            <w:vAlign w:val="top"/>
          </w:tcPr>
          <w:p>
            <w:pPr>
              <w:rPr>
                <w:rFonts w:ascii="宋体" w:eastAsia="宋体" w:hAnsi="宋体" w:cs="宋体" w:hint="eastAsia"/>
                <w:szCs w:val="21"/>
              </w:rPr>
            </w:pPr>
            <w:r>
              <w:rPr>
                <w:rFonts w:ascii="宋体" w:eastAsia="宋体" w:hAnsi="宋体" w:cs="宋体" w:hint="eastAsia"/>
                <w:szCs w:val="21"/>
              </w:rPr>
              <w:t>按招标文件所提供的样式填写《投标函》；按招标文件所提供的《政府采购投标及履约承诺函》进行承诺；</w:t>
            </w:r>
            <w:r>
              <w:rPr>
                <w:rFonts w:hint="eastAsia"/>
                <w:szCs w:val="21"/>
              </w:rPr>
              <w:t>并</w:t>
            </w:r>
            <w:r>
              <w:rPr>
                <w:szCs w:val="21"/>
              </w:rPr>
              <w:t>按招标文件对投标文件组成的要求提供投标文件（投标文件组成完整）</w:t>
            </w:r>
          </w:p>
        </w:tc>
      </w:tr>
      <w:tr>
        <w:tblPrEx>
          <w:tblW w:w="0" w:type="auto"/>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noWrap w:val="0"/>
            <w:vAlign w:val="center"/>
          </w:tcPr>
          <w:p>
            <w:pPr>
              <w:jc w:val="center"/>
              <w:rPr>
                <w:rFonts w:ascii="宋体" w:eastAsia="宋体" w:hAnsi="宋体" w:cs="宋体" w:hint="eastAsia"/>
                <w:szCs w:val="21"/>
              </w:rPr>
            </w:pPr>
            <w:r>
              <w:rPr>
                <w:rFonts w:ascii="宋体" w:eastAsia="宋体" w:hAnsi="宋体" w:cs="宋体" w:hint="eastAsia"/>
                <w:szCs w:val="21"/>
              </w:rPr>
              <w:t>9</w:t>
            </w:r>
          </w:p>
        </w:tc>
        <w:tc>
          <w:tcPr>
            <w:tcW w:w="8278" w:type="dxa"/>
            <w:tcBorders>
              <w:top w:val="single" w:sz="8" w:space="0" w:color="000000"/>
              <w:left w:val="single" w:sz="8" w:space="0" w:color="000000"/>
              <w:bottom w:val="single" w:sz="8" w:space="0" w:color="000000"/>
              <w:right w:val="single" w:sz="8" w:space="0" w:color="000000"/>
            </w:tcBorders>
            <w:noWrap w:val="0"/>
            <w:vAlign w:val="top"/>
          </w:tcPr>
          <w:p>
            <w:pPr>
              <w:rPr>
                <w:rFonts w:ascii="宋体" w:eastAsia="宋体" w:hAnsi="宋体" w:cs="宋体" w:hint="eastAsia"/>
                <w:szCs w:val="21"/>
              </w:rPr>
            </w:pPr>
            <w:r>
              <w:rPr>
                <w:rFonts w:ascii="宋体" w:eastAsia="宋体" w:hAnsi="宋体" w:cs="宋体" w:hint="eastAsia"/>
                <w:szCs w:val="21"/>
              </w:rPr>
              <w:t>投标文件不存在列放位置错误，导致属于信息公开内容没有被公开的情形</w:t>
            </w:r>
          </w:p>
        </w:tc>
      </w:tr>
      <w:tr>
        <w:tblPrEx>
          <w:tblW w:w="0" w:type="auto"/>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noWrap w:val="0"/>
            <w:vAlign w:val="center"/>
          </w:tcPr>
          <w:p>
            <w:pPr>
              <w:jc w:val="center"/>
              <w:rPr>
                <w:rFonts w:ascii="宋体" w:eastAsia="宋体" w:hAnsi="宋体" w:cs="宋体" w:hint="eastAsia"/>
                <w:szCs w:val="21"/>
              </w:rPr>
            </w:pPr>
            <w:r>
              <w:rPr>
                <w:rFonts w:ascii="宋体" w:eastAsia="宋体" w:hAnsi="宋体" w:cs="宋体" w:hint="eastAsia"/>
                <w:szCs w:val="21"/>
              </w:rPr>
              <w:t>10</w:t>
            </w:r>
          </w:p>
        </w:tc>
        <w:tc>
          <w:tcPr>
            <w:tcW w:w="8278" w:type="dxa"/>
            <w:tcBorders>
              <w:top w:val="single" w:sz="8" w:space="0" w:color="000000"/>
              <w:left w:val="single" w:sz="8" w:space="0" w:color="000000"/>
              <w:bottom w:val="single" w:sz="8" w:space="0" w:color="000000"/>
              <w:right w:val="single" w:sz="8" w:space="0" w:color="000000"/>
            </w:tcBorders>
            <w:noWrap w:val="0"/>
            <w:vAlign w:val="top"/>
          </w:tcPr>
          <w:p>
            <w:pPr>
              <w:rPr>
                <w:rFonts w:ascii="宋体" w:eastAsia="宋体" w:hAnsi="宋体" w:cs="宋体" w:hint="eastAsia"/>
                <w:szCs w:val="21"/>
              </w:rPr>
            </w:pPr>
            <w:r>
              <w:rPr>
                <w:rFonts w:ascii="宋体" w:eastAsia="宋体" w:hAnsi="宋体" w:cs="宋体" w:hint="eastAsia"/>
                <w:szCs w:val="21"/>
              </w:rPr>
              <w:t>投标文件不存在电子文档带病毒或使用其他投标人的电子密钥</w:t>
            </w:r>
            <w:r>
              <w:rPr>
                <w:rFonts w:ascii="宋体" w:eastAsia="宋体" w:hAnsi="宋体" w:cs="宋体" w:hint="eastAsia"/>
              </w:rPr>
              <w:t>或电子营业执照</w:t>
            </w:r>
            <w:r>
              <w:rPr>
                <w:rFonts w:ascii="宋体" w:eastAsia="宋体" w:hAnsi="宋体" w:cs="宋体" w:hint="eastAsia"/>
                <w:szCs w:val="21"/>
              </w:rPr>
              <w:t>进行加密的情形</w:t>
            </w:r>
          </w:p>
        </w:tc>
      </w:tr>
      <w:tr>
        <w:tblPrEx>
          <w:tblW w:w="0" w:type="auto"/>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noWrap w:val="0"/>
            <w:vAlign w:val="center"/>
          </w:tcPr>
          <w:p>
            <w:pPr>
              <w:jc w:val="center"/>
              <w:rPr>
                <w:rFonts w:ascii="宋体" w:eastAsia="宋体" w:hAnsi="宋体" w:cs="宋体" w:hint="eastAsia"/>
                <w:szCs w:val="21"/>
              </w:rPr>
            </w:pPr>
            <w:r>
              <w:rPr>
                <w:rFonts w:ascii="宋体" w:eastAsia="宋体" w:hAnsi="宋体" w:cs="宋体" w:hint="eastAsia"/>
                <w:szCs w:val="21"/>
              </w:rPr>
              <w:t>11</w:t>
            </w:r>
          </w:p>
        </w:tc>
        <w:tc>
          <w:tcPr>
            <w:tcW w:w="8278" w:type="dxa"/>
            <w:tcBorders>
              <w:top w:val="single" w:sz="8" w:space="0" w:color="000000"/>
              <w:left w:val="single" w:sz="8" w:space="0" w:color="000000"/>
              <w:bottom w:val="single" w:sz="8" w:space="0" w:color="000000"/>
              <w:right w:val="single" w:sz="8" w:space="0" w:color="000000"/>
            </w:tcBorders>
            <w:noWrap w:val="0"/>
            <w:vAlign w:val="top"/>
          </w:tcPr>
          <w:p>
            <w:pPr>
              <w:rPr>
                <w:rFonts w:ascii="宋体" w:eastAsia="宋体" w:hAnsi="宋体" w:cs="宋体" w:hint="eastAsia"/>
                <w:szCs w:val="21"/>
              </w:rPr>
            </w:pPr>
            <w:r>
              <w:rPr>
                <w:rFonts w:ascii="宋体" w:eastAsia="宋体" w:hAnsi="宋体" w:cs="宋体" w:hint="eastAsia"/>
              </w:rPr>
              <w:t>不同投标人的投标文件不存在“文件制作机器码”一致或</w:t>
            </w:r>
            <w:r>
              <w:rPr>
                <w:rFonts w:ascii="宋体" w:eastAsia="宋体" w:hAnsi="宋体" w:cs="宋体" w:hint="eastAsia"/>
                <w:szCs w:val="24"/>
              </w:rPr>
              <w:t>“文件创建标识码”一致的情形</w:t>
            </w:r>
          </w:p>
        </w:tc>
      </w:tr>
      <w:tr>
        <w:tblPrEx>
          <w:tblW w:w="0" w:type="auto"/>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noWrap w:val="0"/>
            <w:vAlign w:val="center"/>
          </w:tcPr>
          <w:p>
            <w:pPr>
              <w:jc w:val="center"/>
              <w:rPr>
                <w:rFonts w:ascii="宋体" w:eastAsia="宋体" w:hAnsi="宋体" w:cs="宋体" w:hint="eastAsia"/>
                <w:szCs w:val="21"/>
              </w:rPr>
            </w:pPr>
            <w:r>
              <w:rPr>
                <w:rFonts w:ascii="宋体" w:eastAsia="宋体" w:hAnsi="宋体" w:cs="宋体" w:hint="eastAsia"/>
                <w:szCs w:val="21"/>
              </w:rPr>
              <w:t>12</w:t>
            </w:r>
          </w:p>
        </w:tc>
        <w:tc>
          <w:tcPr>
            <w:tcW w:w="8278" w:type="dxa"/>
            <w:tcBorders>
              <w:top w:val="single" w:sz="8" w:space="0" w:color="000000"/>
              <w:left w:val="single" w:sz="8" w:space="0" w:color="000000"/>
              <w:bottom w:val="single" w:sz="8" w:space="0" w:color="000000"/>
              <w:right w:val="single" w:sz="8" w:space="0" w:color="000000"/>
            </w:tcBorders>
            <w:noWrap w:val="0"/>
            <w:vAlign w:val="top"/>
          </w:tcPr>
          <w:p>
            <w:pPr>
              <w:rPr>
                <w:rFonts w:ascii="宋体" w:eastAsia="宋体" w:hAnsi="宋体" w:cs="宋体" w:hint="eastAsia"/>
                <w:szCs w:val="21"/>
              </w:rPr>
            </w:pPr>
            <w:r>
              <w:rPr>
                <w:rFonts w:ascii="宋体" w:eastAsia="宋体" w:hAnsi="宋体" w:cs="宋体" w:hint="eastAsia"/>
                <w:szCs w:val="24"/>
              </w:rPr>
              <w:t>法律、法规、规章、规范性文件规定的其他情形</w:t>
            </w:r>
          </w:p>
        </w:tc>
      </w:tr>
    </w:tbl>
    <w:p>
      <w:pPr>
        <w:spacing w:line="324" w:lineRule="auto"/>
        <w:ind w:firstLine="420"/>
        <w:rPr>
          <w:rFonts w:ascii="Times New Roman" w:hAnsi="Times New Roman"/>
          <w:b/>
          <w:color w:val="FF0000"/>
          <w:szCs w:val="21"/>
        </w:rPr>
      </w:pPr>
      <w:r>
        <w:rPr>
          <w:rFonts w:ascii="Times New Roman" w:hAnsi="Times New Roman" w:hint="eastAsia"/>
          <w:b/>
          <w:color w:val="FF0000"/>
          <w:szCs w:val="21"/>
        </w:rPr>
        <w:t>特别说明：</w:t>
      </w:r>
    </w:p>
    <w:p>
      <w:pPr>
        <w:spacing w:line="324" w:lineRule="auto"/>
        <w:ind w:firstLine="420"/>
        <w:rPr>
          <w:rFonts w:ascii="宋体" w:eastAsia="宋体" w:hAnsi="宋体"/>
          <w:b/>
          <w:color w:val="FF0000"/>
          <w:szCs w:val="21"/>
        </w:rPr>
      </w:pPr>
      <w:r>
        <w:rPr>
          <w:rFonts w:ascii="宋体" w:eastAsia="宋体" w:hAnsi="宋体" w:hint="eastAsia"/>
          <w:b/>
          <w:color w:val="FF0000"/>
          <w:szCs w:val="21"/>
        </w:rPr>
        <w:t>1、投标人须在开标当日的开标时间至解密截止时间内完成投标文件在线解密，逾期未解密的作无效处理。</w:t>
      </w:r>
    </w:p>
    <w:p>
      <w:pPr>
        <w:spacing w:line="324" w:lineRule="auto"/>
        <w:ind w:firstLine="420"/>
        <w:rPr>
          <w:rFonts w:ascii="宋体" w:eastAsia="宋体" w:hAnsi="宋体"/>
          <w:b/>
          <w:color w:val="FF0000"/>
          <w:szCs w:val="21"/>
        </w:rPr>
      </w:pPr>
      <w:r>
        <w:rPr>
          <w:rFonts w:ascii="宋体" w:eastAsia="宋体" w:hAnsi="宋体" w:hint="eastAsia"/>
          <w:b/>
          <w:color w:val="FF0000"/>
          <w:szCs w:val="21"/>
        </w:rPr>
        <w:t>2、投标人不符合《资格性审查表》或《符合性审查表》中任一情形的，初审不通过，投标无效。</w:t>
      </w:r>
    </w:p>
    <w:p>
      <w:pPr>
        <w:spacing w:line="324" w:lineRule="auto"/>
        <w:ind w:firstLine="420"/>
        <w:rPr>
          <w:rFonts w:ascii="宋体" w:eastAsia="宋体" w:hAnsi="宋体"/>
          <w:b/>
          <w:color w:val="FF0000"/>
          <w:szCs w:val="21"/>
        </w:rPr>
      </w:pPr>
    </w:p>
    <w:p>
      <w:pPr>
        <w:pStyle w:val="NormalWeb"/>
        <w:jc w:val="center"/>
        <w:outlineLvl w:val="1"/>
        <w:rPr>
          <w:rFonts w:ascii="黑体" w:eastAsia="黑体" w:hAnsi="黑体"/>
          <w:sz w:val="40"/>
          <w:szCs w:val="40"/>
        </w:rPr>
      </w:pPr>
      <w:r>
        <w:rPr>
          <w:rFonts w:ascii="黑体" w:eastAsia="黑体" w:hAnsi="黑体" w:hint="eastAsia"/>
          <w:sz w:val="40"/>
          <w:szCs w:val="40"/>
        </w:rPr>
        <w:t>评标信息</w:t>
      </w:r>
    </w:p>
    <w:tbl>
      <w:tblPr>
        <w:tblStyle w:val="TableNormal"/>
        <w:tblW w:w="0" w:type="auto"/>
        <w:jc w:val="center"/>
        <w:tblCellSpacing w:w="0" w:type="dxa"/>
        <w:tblLayout w:type="fixed"/>
        <w:tblCellMar>
          <w:top w:w="45" w:type="dxa"/>
          <w:left w:w="45" w:type="dxa"/>
          <w:bottom w:w="45" w:type="dxa"/>
          <w:right w:w="45" w:type="dxa"/>
        </w:tblCellMar>
      </w:tblPr>
      <w:tblGrid>
        <w:gridCol w:w="8824"/>
        <w:gridCol w:w="248"/>
      </w:tblGrid>
      <w:tr>
        <w:tblPrEx>
          <w:tblW w:w="0" w:type="auto"/>
          <w:jc w:val="center"/>
          <w:tblCellSpacing w:w="0" w:type="dxa"/>
          <w:tblLayout w:type="fixed"/>
          <w:tblCellMar>
            <w:top w:w="45" w:type="dxa"/>
            <w:left w:w="45" w:type="dxa"/>
            <w:bottom w:w="45" w:type="dxa"/>
            <w:right w:w="45" w:type="dxa"/>
          </w:tblCellMar>
        </w:tblPrEx>
        <w:trPr>
          <w:tblCellSpacing w:w="0" w:type="dxa"/>
          <w:jc w:val="center"/>
        </w:trPr>
        <w:tc>
          <w:tcPr>
            <w:tcW w:w="8824" w:type="dxa"/>
            <w:tcBorders>
              <w:top w:val="nil"/>
              <w:left w:val="nil"/>
              <w:bottom w:val="nil"/>
              <w:right w:val="nil"/>
            </w:tcBorders>
            <w:noWrap w:val="0"/>
            <w:vAlign w:val="center"/>
          </w:tcPr>
          <w:p>
            <w:pPr>
              <w:rPr>
                <w:rFonts w:ascii="宋体" w:hAnsi="宋体" w:cs="宋体"/>
                <w:b/>
                <w:bCs/>
                <w:sz w:val="24"/>
                <w:szCs w:val="24"/>
              </w:rPr>
            </w:pPr>
            <w:r>
              <w:rPr>
                <w:b/>
                <w:bCs/>
              </w:rPr>
              <w:t>评标方法：综合评分法（新价格分算法）</w:t>
            </w:r>
          </w:p>
        </w:tc>
        <w:tc>
          <w:tcPr>
            <w:tcW w:w="248" w:type="dxa"/>
            <w:tcBorders>
              <w:top w:val="nil"/>
              <w:left w:val="nil"/>
              <w:bottom w:val="nil"/>
              <w:right w:val="nil"/>
            </w:tcBorders>
            <w:noWrap w:val="0"/>
            <w:vAlign w:val="center"/>
          </w:tcPr>
          <w:p>
            <w:pPr>
              <w:jc w:val="right"/>
              <w:rPr>
                <w:rFonts w:ascii="宋体" w:hAnsi="宋体" w:cs="宋体"/>
                <w:b/>
                <w:bCs/>
                <w:sz w:val="24"/>
                <w:szCs w:val="24"/>
              </w:rPr>
            </w:pPr>
          </w:p>
        </w:tc>
      </w:tr>
      <w:tr>
        <w:tblPrEx>
          <w:tblW w:w="0" w:type="auto"/>
          <w:jc w:val="center"/>
          <w:tblCellSpacing w:w="0" w:type="dxa"/>
          <w:tblLayout w:type="fixed"/>
          <w:tblCellMar>
            <w:top w:w="45" w:type="dxa"/>
            <w:left w:w="45" w:type="dxa"/>
            <w:bottom w:w="45" w:type="dxa"/>
            <w:right w:w="45" w:type="dxa"/>
          </w:tblCellMar>
        </w:tblPrEx>
        <w:trPr>
          <w:tblCellSpacing w:w="0" w:type="dxa"/>
          <w:jc w:val="center"/>
        </w:trPr>
        <w:tc>
          <w:tcPr>
            <w:tcW w:w="9072" w:type="dxa"/>
            <w:gridSpan w:val="2"/>
            <w:tcBorders>
              <w:top w:val="nil"/>
              <w:left w:val="nil"/>
              <w:bottom w:val="nil"/>
              <w:right w:val="nil"/>
            </w:tcBorders>
            <w:noWrap w:val="0"/>
            <w:vAlign w:val="center"/>
          </w:tcPr>
          <w:p>
            <w:pPr>
              <w:pStyle w:val="NormalWeb"/>
              <w:spacing w:line="324" w:lineRule="auto"/>
              <w:ind w:firstLine="420"/>
              <w:rPr>
                <w:sz w:val="21"/>
                <w:szCs w:val="21"/>
              </w:rPr>
            </w:pPr>
            <w:r>
              <w:rPr>
                <w:sz w:val="21"/>
                <w:szCs w:val="21"/>
              </w:rPr>
              <w:t>综合评分法，是指</w:t>
            </w:r>
            <w:r>
              <w:rPr>
                <w:rFonts w:hint="eastAsia"/>
                <w:sz w:val="21"/>
                <w:szCs w:val="21"/>
              </w:rPr>
              <w:t>在最大限度地满足招标文件实质性要求的前提下，按照招标文件中规定的各项因素进行综合评审，评标总得分排名前列的投标人，作为推荐的候选中标供应商</w:t>
            </w:r>
            <w:r>
              <w:rPr>
                <w:sz w:val="21"/>
                <w:szCs w:val="21"/>
              </w:rPr>
              <w:t xml:space="preserve">。 </w:t>
            </w:r>
          </w:p>
          <w:p>
            <w:pPr>
              <w:pStyle w:val="NormalWeb"/>
              <w:ind w:firstLine="420"/>
              <w:rPr>
                <w:sz w:val="21"/>
                <w:szCs w:val="21"/>
              </w:rPr>
            </w:pPr>
            <w:r>
              <w:rPr>
                <w:sz w:val="21"/>
                <w:szCs w:val="21"/>
              </w:rPr>
              <w:t>价格分计算方法：</w:t>
            </w:r>
          </w:p>
          <w:p>
            <w:pPr>
              <w:pStyle w:val="NormalWeb"/>
              <w:spacing w:line="324" w:lineRule="auto"/>
              <w:ind w:left="420"/>
              <w:rPr>
                <w:sz w:val="21"/>
                <w:szCs w:val="21"/>
              </w:rPr>
            </w:pPr>
            <w:r>
              <w:rPr>
                <w:sz w:val="21"/>
                <w:szCs w:val="21"/>
              </w:rPr>
              <w:t xml:space="preserve">采用低价优先法计算，即满足招标文件要求且投标价格最低的投标报价为评标基准价，其价格分为满分。其他投标人的价格分统一按照下列公式计算： </w:t>
            </w:r>
            <w:r>
              <w:rPr>
                <w:sz w:val="21"/>
                <w:szCs w:val="21"/>
              </w:rPr>
              <w:br/>
            </w:r>
            <w:r>
              <w:rPr>
                <w:sz w:val="21"/>
                <w:szCs w:val="21"/>
              </w:rPr>
              <w:t xml:space="preserve">投标报价得分=(评标基准价／投标报价)×100 </w:t>
            </w:r>
            <w:r>
              <w:rPr>
                <w:sz w:val="21"/>
                <w:szCs w:val="21"/>
              </w:rPr>
              <w:br/>
            </w:r>
            <w:r>
              <w:rPr>
                <w:sz w:val="21"/>
                <w:szCs w:val="21"/>
              </w:rPr>
              <w:t xml:space="preserve">评标总得分＝F1×A1＋F2×A2＋……＋Fn×An </w:t>
            </w:r>
            <w:r>
              <w:rPr>
                <w:sz w:val="21"/>
                <w:szCs w:val="21"/>
              </w:rPr>
              <w:br/>
            </w:r>
            <w:r>
              <w:rPr>
                <w:sz w:val="21"/>
                <w:szCs w:val="21"/>
              </w:rPr>
              <w:t xml:space="preserve">F1、F2……Fn分别为各项评审因素的得分； </w:t>
            </w:r>
            <w:r>
              <w:rPr>
                <w:sz w:val="21"/>
                <w:szCs w:val="21"/>
              </w:rPr>
              <w:br/>
            </w:r>
            <w:r>
              <w:rPr>
                <w:sz w:val="21"/>
                <w:szCs w:val="21"/>
              </w:rPr>
              <w:t xml:space="preserve">A1、A2、……An 分别为各项评审因素所占的权重(A1＋A2＋……＋An＝1)。 </w:t>
            </w:r>
            <w:r>
              <w:rPr>
                <w:sz w:val="21"/>
                <w:szCs w:val="21"/>
              </w:rPr>
              <w:br/>
            </w:r>
            <w:r>
              <w:rPr>
                <w:sz w:val="21"/>
                <w:szCs w:val="21"/>
              </w:rPr>
              <w:t xml:space="preserve">评标过程中，不得去掉报价中的最高报价和最低报价。 </w:t>
            </w:r>
            <w:r>
              <w:rPr>
                <w:sz w:val="21"/>
                <w:szCs w:val="21"/>
              </w:rPr>
              <w:br/>
            </w:r>
            <w:r>
              <w:rPr>
                <w:rFonts w:hint="eastAsia"/>
                <w:sz w:val="21"/>
                <w:szCs w:val="21"/>
              </w:rPr>
              <w:t>因落实政府采购政策进行价格调整的，以调整后的价格计算评标基准价和投标报价</w:t>
            </w:r>
            <w:r>
              <w:rPr>
                <w:sz w:val="21"/>
                <w:szCs w:val="21"/>
              </w:rPr>
              <w:t xml:space="preserve">。 </w:t>
            </w:r>
          </w:p>
        </w:tc>
      </w:tr>
    </w:tbl>
    <w:p>
      <w:pPr>
        <w:rPr>
          <w:vanish/>
        </w:rPr>
      </w:pPr>
    </w:p>
    <w:tbl>
      <w:tblPr>
        <w:tblStyle w:val="TableNormal"/>
        <w:tblW w:w="96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657"/>
        <w:gridCol w:w="657"/>
        <w:gridCol w:w="2616"/>
        <w:gridCol w:w="918"/>
        <w:gridCol w:w="4791"/>
      </w:tblGrid>
      <w:tr>
        <w:tblPrEx>
          <w:tblW w:w="96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657" w:type="dxa"/>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spacing w:line="360" w:lineRule="exact"/>
              <w:jc w:val="center"/>
              <w:rPr>
                <w:rFonts w:ascii="宋体" w:eastAsia="宋体" w:hAnsi="宋体" w:cs="宋体"/>
                <w:b/>
                <w:bCs/>
                <w:sz w:val="24"/>
                <w:szCs w:val="24"/>
              </w:rPr>
            </w:pPr>
            <w:r>
              <w:rPr>
                <w:rFonts w:ascii="宋体" w:eastAsia="宋体" w:hAnsi="宋体"/>
                <w:b/>
                <w:bCs/>
              </w:rPr>
              <w:t>序号</w:t>
            </w:r>
          </w:p>
        </w:tc>
        <w:tc>
          <w:tcPr>
            <w:tcW w:w="4191" w:type="dxa"/>
            <w:gridSpan w:val="3"/>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spacing w:line="360" w:lineRule="exact"/>
              <w:jc w:val="center"/>
              <w:rPr>
                <w:rFonts w:ascii="宋体" w:eastAsia="宋体" w:hAnsi="宋体" w:cs="宋体"/>
                <w:b/>
                <w:bCs/>
                <w:sz w:val="24"/>
                <w:szCs w:val="24"/>
              </w:rPr>
            </w:pPr>
            <w:r>
              <w:rPr>
                <w:rFonts w:ascii="宋体" w:eastAsia="宋体" w:hAnsi="宋体"/>
                <w:b/>
                <w:bCs/>
              </w:rPr>
              <w:t>评分项</w:t>
            </w:r>
          </w:p>
        </w:tc>
        <w:tc>
          <w:tcPr>
            <w:tcW w:w="4791" w:type="dxa"/>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spacing w:line="360" w:lineRule="exact"/>
              <w:jc w:val="center"/>
              <w:rPr>
                <w:rFonts w:ascii="宋体" w:eastAsia="宋体" w:hAnsi="宋体" w:cs="宋体"/>
                <w:b/>
                <w:bCs/>
                <w:sz w:val="24"/>
                <w:szCs w:val="24"/>
              </w:rPr>
            </w:pPr>
            <w:r>
              <w:rPr>
                <w:rFonts w:ascii="宋体" w:eastAsia="宋体" w:hAnsi="宋体"/>
                <w:b/>
                <w:bCs/>
              </w:rPr>
              <w:t>权重(%)</w:t>
            </w:r>
          </w:p>
        </w:tc>
      </w:tr>
      <w:tr>
        <w:tblPrEx>
          <w:tblW w:w="9639" w:type="dxa"/>
          <w:jc w:val="center"/>
          <w:tblLayout w:type="fixed"/>
          <w:tblCellMar>
            <w:top w:w="20" w:type="dxa"/>
            <w:left w:w="108" w:type="dxa"/>
            <w:bottom w:w="20" w:type="dxa"/>
            <w:right w:w="108" w:type="dxa"/>
          </w:tblCellMar>
        </w:tblPrEx>
        <w:trPr>
          <w:jc w:val="center"/>
        </w:trPr>
        <w:tc>
          <w:tcPr>
            <w:tcW w:w="657" w:type="dxa"/>
            <w:tcBorders>
              <w:top w:val="single" w:sz="8" w:space="0" w:color="000000"/>
              <w:left w:val="single" w:sz="8" w:space="0" w:color="000000"/>
              <w:right w:val="single" w:sz="8" w:space="0" w:color="000000"/>
            </w:tcBorders>
            <w:noWrap w:val="0"/>
            <w:vAlign w:val="top"/>
          </w:tcPr>
          <w:p>
            <w:pPr>
              <w:spacing w:line="360" w:lineRule="exact"/>
              <w:jc w:val="center"/>
              <w:rPr>
                <w:rFonts w:ascii="宋体" w:eastAsia="宋体" w:hAnsi="宋体" w:cs="宋体"/>
                <w:b/>
                <w:bCs/>
                <w:color w:val="0000FF"/>
                <w:sz w:val="24"/>
                <w:szCs w:val="24"/>
              </w:rPr>
            </w:pPr>
            <w:r>
              <w:rPr>
                <w:rFonts w:ascii="宋体" w:eastAsia="宋体" w:hAnsi="宋体"/>
                <w:b/>
                <w:bCs/>
                <w:color w:val="0000FF"/>
              </w:rPr>
              <w:t>1</w:t>
            </w:r>
          </w:p>
        </w:tc>
        <w:tc>
          <w:tcPr>
            <w:tcW w:w="4191" w:type="dxa"/>
            <w:gridSpan w:val="3"/>
            <w:tcBorders>
              <w:top w:val="single" w:sz="8" w:space="0" w:color="000000"/>
              <w:left w:val="single" w:sz="8" w:space="0" w:color="000000"/>
              <w:bottom w:val="single" w:sz="8" w:space="0" w:color="000000"/>
              <w:right w:val="single" w:sz="8" w:space="0" w:color="000000"/>
            </w:tcBorders>
            <w:noWrap w:val="0"/>
            <w:vAlign w:val="top"/>
          </w:tcPr>
          <w:p>
            <w:pPr>
              <w:spacing w:line="360" w:lineRule="exact"/>
              <w:jc w:val="center"/>
              <w:rPr>
                <w:rFonts w:ascii="宋体" w:eastAsia="宋体" w:hAnsi="宋体" w:cs="宋体"/>
                <w:b/>
                <w:bCs/>
                <w:color w:val="0000FF"/>
                <w:sz w:val="24"/>
                <w:szCs w:val="24"/>
              </w:rPr>
            </w:pPr>
            <w:r>
              <w:rPr>
                <w:rFonts w:ascii="宋体" w:eastAsia="宋体" w:hAnsi="宋体"/>
                <w:b/>
                <w:bCs/>
                <w:color w:val="0000FF"/>
              </w:rPr>
              <w:t>价格</w:t>
            </w:r>
          </w:p>
        </w:tc>
        <w:tc>
          <w:tcPr>
            <w:tcW w:w="4791" w:type="dxa"/>
            <w:tcBorders>
              <w:top w:val="single" w:sz="8" w:space="0" w:color="000000"/>
              <w:left w:val="single" w:sz="8" w:space="0" w:color="000000"/>
              <w:bottom w:val="single" w:sz="8" w:space="0" w:color="000000"/>
              <w:right w:val="single" w:sz="8" w:space="0" w:color="000000"/>
            </w:tcBorders>
            <w:noWrap w:val="0"/>
            <w:vAlign w:val="top"/>
          </w:tcPr>
          <w:p>
            <w:pPr>
              <w:spacing w:line="360" w:lineRule="exact"/>
              <w:jc w:val="center"/>
              <w:rPr>
                <w:rFonts w:ascii="宋体" w:eastAsia="宋体" w:hAnsi="宋体" w:cs="宋体" w:hint="default"/>
                <w:b/>
                <w:bCs/>
                <w:color w:val="0000FF"/>
                <w:sz w:val="24"/>
                <w:szCs w:val="24"/>
                <w:lang w:val="en-US" w:eastAsia="zh-CN"/>
              </w:rPr>
            </w:pPr>
            <w:r>
              <w:rPr>
                <w:rFonts w:ascii="宋体" w:eastAsia="宋体" w:hAnsi="宋体" w:hint="eastAsia"/>
                <w:b/>
                <w:bCs/>
                <w:color w:val="0000FF"/>
                <w:lang w:val="en-US" w:eastAsia="zh-CN"/>
              </w:rPr>
              <w:t>15</w:t>
            </w:r>
          </w:p>
        </w:tc>
      </w:tr>
      <w:tr>
        <w:tblPrEx>
          <w:tblW w:w="9639" w:type="dxa"/>
          <w:jc w:val="center"/>
          <w:tblLayout w:type="fixed"/>
          <w:tblCellMar>
            <w:top w:w="20" w:type="dxa"/>
            <w:left w:w="108" w:type="dxa"/>
            <w:bottom w:w="20" w:type="dxa"/>
            <w:right w:w="108" w:type="dxa"/>
          </w:tblCellMar>
        </w:tblPrEx>
        <w:trPr>
          <w:jc w:val="center"/>
        </w:trPr>
        <w:tc>
          <w:tcPr>
            <w:tcW w:w="657" w:type="dxa"/>
            <w:vMerge w:val="restart"/>
            <w:tcBorders>
              <w:top w:val="single" w:sz="8" w:space="0" w:color="000000"/>
              <w:left w:val="single" w:sz="8" w:space="0" w:color="000000"/>
              <w:right w:val="single" w:sz="8" w:space="0" w:color="000000"/>
            </w:tcBorders>
            <w:noWrap w:val="0"/>
            <w:vAlign w:val="top"/>
          </w:tcPr>
          <w:p>
            <w:pPr>
              <w:spacing w:line="360" w:lineRule="exact"/>
              <w:jc w:val="center"/>
              <w:rPr>
                <w:rFonts w:ascii="宋体" w:eastAsia="宋体" w:hAnsi="宋体" w:cs="宋体"/>
                <w:b/>
                <w:bCs/>
                <w:color w:val="0000FF"/>
                <w:sz w:val="24"/>
                <w:szCs w:val="24"/>
              </w:rPr>
            </w:pPr>
            <w:r>
              <w:rPr>
                <w:rFonts w:ascii="宋体" w:eastAsia="宋体" w:hAnsi="宋体"/>
                <w:b/>
                <w:bCs/>
                <w:color w:val="0000FF"/>
              </w:rPr>
              <w:t>2</w:t>
            </w:r>
          </w:p>
        </w:tc>
        <w:tc>
          <w:tcPr>
            <w:tcW w:w="4191" w:type="dxa"/>
            <w:gridSpan w:val="3"/>
            <w:tcBorders>
              <w:top w:val="single" w:sz="8" w:space="0" w:color="000000"/>
              <w:left w:val="single" w:sz="8" w:space="0" w:color="000000"/>
              <w:bottom w:val="single" w:sz="8" w:space="0" w:color="000000"/>
              <w:right w:val="single" w:sz="8" w:space="0" w:color="000000"/>
            </w:tcBorders>
            <w:noWrap w:val="0"/>
            <w:vAlign w:val="top"/>
          </w:tcPr>
          <w:p>
            <w:pPr>
              <w:spacing w:line="360" w:lineRule="exact"/>
              <w:jc w:val="center"/>
              <w:rPr>
                <w:rFonts w:ascii="宋体" w:eastAsia="宋体" w:hAnsi="宋体" w:cs="宋体"/>
                <w:b/>
                <w:bCs/>
                <w:color w:val="0000FF"/>
                <w:sz w:val="24"/>
                <w:szCs w:val="24"/>
              </w:rPr>
            </w:pPr>
            <w:r>
              <w:rPr>
                <w:rFonts w:ascii="宋体" w:eastAsia="宋体" w:hAnsi="宋体"/>
                <w:b/>
                <w:bCs/>
                <w:color w:val="0000FF"/>
              </w:rPr>
              <w:t>技术</w:t>
            </w:r>
          </w:p>
        </w:tc>
        <w:tc>
          <w:tcPr>
            <w:tcW w:w="4791" w:type="dxa"/>
            <w:tcBorders>
              <w:top w:val="single" w:sz="8" w:space="0" w:color="000000"/>
              <w:left w:val="single" w:sz="8" w:space="0" w:color="000000"/>
              <w:bottom w:val="single" w:sz="8" w:space="0" w:color="000000"/>
              <w:right w:val="single" w:sz="8" w:space="0" w:color="000000"/>
            </w:tcBorders>
            <w:noWrap w:val="0"/>
            <w:vAlign w:val="top"/>
          </w:tcPr>
          <w:p>
            <w:pPr>
              <w:spacing w:line="360" w:lineRule="exact"/>
              <w:jc w:val="center"/>
              <w:rPr>
                <w:rFonts w:ascii="宋体" w:eastAsia="宋体" w:hAnsi="宋体" w:cs="宋体" w:hint="default"/>
                <w:b/>
                <w:bCs/>
                <w:color w:val="0000FF"/>
                <w:sz w:val="24"/>
                <w:szCs w:val="24"/>
                <w:lang w:val="en-US" w:eastAsia="zh-CN"/>
              </w:rPr>
            </w:pPr>
            <w:r>
              <w:rPr>
                <w:rFonts w:ascii="宋体" w:eastAsia="宋体" w:hAnsi="宋体" w:hint="eastAsia"/>
                <w:b/>
                <w:bCs/>
                <w:color w:val="0000FF"/>
                <w:lang w:val="en-US" w:eastAsia="zh-CN"/>
              </w:rPr>
              <w:t>35</w:t>
            </w:r>
          </w:p>
        </w:tc>
      </w:tr>
      <w:tr>
        <w:tblPrEx>
          <w:tblW w:w="9639" w:type="dxa"/>
          <w:jc w:val="center"/>
          <w:tblLayout w:type="fixed"/>
          <w:tblCellMar>
            <w:top w:w="20" w:type="dxa"/>
            <w:left w:w="108" w:type="dxa"/>
            <w:bottom w:w="20" w:type="dxa"/>
            <w:right w:w="108" w:type="dxa"/>
          </w:tblCellMar>
        </w:tblPrEx>
        <w:trPr>
          <w:jc w:val="center"/>
        </w:trPr>
        <w:tc>
          <w:tcPr>
            <w:tcW w:w="657" w:type="dxa"/>
            <w:vMerge/>
            <w:tcBorders>
              <w:left w:val="single" w:sz="8" w:space="0" w:color="000000"/>
              <w:right w:val="single" w:sz="8" w:space="0" w:color="000000"/>
            </w:tcBorders>
            <w:shd w:val="clear" w:color="auto" w:fill="auto"/>
            <w:noWrap w:val="0"/>
            <w:vAlign w:val="center"/>
          </w:tcPr>
          <w:p>
            <w:pPr>
              <w:spacing w:line="360" w:lineRule="exact"/>
              <w:rPr>
                <w:rFonts w:ascii="宋体" w:eastAsia="宋体" w:hAnsi="宋体" w:cs="宋体"/>
                <w:b/>
                <w:bCs/>
                <w:color w:val="0000FF"/>
                <w:sz w:val="24"/>
                <w:szCs w:val="24"/>
              </w:rPr>
            </w:pPr>
          </w:p>
        </w:tc>
        <w:tc>
          <w:tcPr>
            <w:tcW w:w="657"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spacing w:line="360" w:lineRule="exact"/>
              <w:jc w:val="center"/>
              <w:rPr>
                <w:rFonts w:ascii="宋体" w:eastAsia="宋体" w:hAnsi="宋体" w:cs="宋体"/>
                <w:szCs w:val="21"/>
              </w:rPr>
            </w:pPr>
            <w:r>
              <w:rPr>
                <w:rFonts w:ascii="宋体" w:eastAsia="宋体" w:hAnsi="宋体"/>
                <w:szCs w:val="21"/>
              </w:rPr>
              <w:t>序号</w:t>
            </w:r>
          </w:p>
        </w:tc>
        <w:tc>
          <w:tcPr>
            <w:tcW w:w="2616"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spacing w:line="360" w:lineRule="exact"/>
              <w:jc w:val="center"/>
              <w:rPr>
                <w:rFonts w:ascii="宋体" w:eastAsia="宋体" w:hAnsi="宋体" w:cs="宋体"/>
                <w:szCs w:val="21"/>
              </w:rPr>
            </w:pPr>
            <w:r>
              <w:rPr>
                <w:rFonts w:ascii="宋体" w:eastAsia="宋体" w:hAnsi="宋体"/>
                <w:szCs w:val="21"/>
              </w:rPr>
              <w:t>评分因素</w:t>
            </w:r>
          </w:p>
        </w:tc>
        <w:tc>
          <w:tcPr>
            <w:tcW w:w="918"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spacing w:line="360" w:lineRule="exact"/>
              <w:jc w:val="center"/>
              <w:rPr>
                <w:rFonts w:ascii="宋体" w:eastAsia="宋体" w:hAnsi="宋体" w:cs="宋体"/>
                <w:szCs w:val="21"/>
              </w:rPr>
            </w:pPr>
            <w:r>
              <w:rPr>
                <w:rFonts w:ascii="宋体" w:eastAsia="宋体" w:hAnsi="宋体"/>
                <w:szCs w:val="21"/>
              </w:rPr>
              <w:t>权重(%)</w:t>
            </w:r>
          </w:p>
        </w:tc>
        <w:tc>
          <w:tcPr>
            <w:tcW w:w="4791"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spacing w:line="360" w:lineRule="exact"/>
              <w:jc w:val="center"/>
              <w:rPr>
                <w:rFonts w:ascii="宋体" w:eastAsia="宋体" w:hAnsi="宋体" w:cs="宋体"/>
                <w:szCs w:val="21"/>
              </w:rPr>
            </w:pPr>
            <w:r>
              <w:rPr>
                <w:rFonts w:ascii="宋体" w:eastAsia="宋体" w:hAnsi="宋体"/>
                <w:szCs w:val="21"/>
              </w:rPr>
              <w:t>评分准则</w:t>
            </w:r>
          </w:p>
        </w:tc>
      </w:tr>
      <w:tr>
        <w:tblPrEx>
          <w:tblW w:w="9639" w:type="dxa"/>
          <w:jc w:val="center"/>
          <w:tblLayout w:type="fixed"/>
          <w:tblCellMar>
            <w:top w:w="20" w:type="dxa"/>
            <w:left w:w="108" w:type="dxa"/>
            <w:bottom w:w="20" w:type="dxa"/>
            <w:right w:w="108" w:type="dxa"/>
          </w:tblCellMar>
        </w:tblPrEx>
        <w:trPr>
          <w:jc w:val="center"/>
        </w:trPr>
        <w:tc>
          <w:tcPr>
            <w:tcW w:w="657" w:type="dxa"/>
            <w:vMerge/>
            <w:tcBorders>
              <w:left w:val="single" w:sz="8" w:space="0" w:color="000000"/>
              <w:right w:val="single" w:sz="8" w:space="0" w:color="000000"/>
            </w:tcBorders>
            <w:noWrap w:val="0"/>
            <w:vAlign w:val="center"/>
          </w:tcPr>
          <w:p>
            <w:pPr>
              <w:spacing w:line="360" w:lineRule="exact"/>
              <w:rPr>
                <w:rFonts w:ascii="宋体" w:eastAsia="宋体" w:hAnsi="宋体" w:cs="宋体"/>
                <w:b/>
                <w:bCs/>
                <w:color w:val="0000FF"/>
                <w:sz w:val="24"/>
                <w:szCs w:val="24"/>
              </w:rPr>
            </w:pPr>
          </w:p>
        </w:tc>
        <w:tc>
          <w:tcPr>
            <w:tcW w:w="657" w:type="dxa"/>
            <w:tcBorders>
              <w:top w:val="single" w:sz="8" w:space="0" w:color="000000"/>
              <w:left w:val="single" w:sz="8" w:space="0" w:color="000000"/>
              <w:bottom w:val="single" w:sz="8" w:space="0" w:color="000000"/>
              <w:right w:val="single" w:sz="8" w:space="0" w:color="000000"/>
            </w:tcBorders>
            <w:noWrap w:val="0"/>
            <w:vAlign w:val="top"/>
          </w:tcPr>
          <w:p>
            <w:pPr>
              <w:spacing w:line="360" w:lineRule="exact"/>
              <w:jc w:val="center"/>
              <w:rPr>
                <w:rFonts w:ascii="宋体" w:eastAsia="宋体" w:hAnsi="宋体" w:cs="宋体" w:hint="eastAsia"/>
                <w:szCs w:val="21"/>
              </w:rPr>
            </w:pPr>
            <w:r>
              <w:rPr>
                <w:rFonts w:ascii="宋体" w:eastAsia="宋体" w:hAnsi="宋体" w:cs="宋体" w:hint="eastAsia"/>
                <w:szCs w:val="21"/>
              </w:rPr>
              <w:t>1</w:t>
            </w:r>
          </w:p>
        </w:tc>
        <w:tc>
          <w:tcPr>
            <w:tcW w:w="2616" w:type="dxa"/>
            <w:tcBorders>
              <w:top w:val="single" w:sz="8" w:space="0" w:color="000000"/>
              <w:left w:val="single" w:sz="8" w:space="0" w:color="000000"/>
              <w:bottom w:val="single" w:sz="8" w:space="0" w:color="000000"/>
              <w:right w:val="single" w:sz="8" w:space="0" w:color="000000"/>
            </w:tcBorders>
            <w:noWrap w:val="0"/>
            <w:vAlign w:val="top"/>
          </w:tcPr>
          <w:p>
            <w:pPr>
              <w:spacing w:line="360" w:lineRule="exact"/>
              <w:rPr>
                <w:rFonts w:ascii="宋体" w:eastAsia="宋体" w:hAnsi="宋体" w:cs="宋体" w:hint="eastAsia"/>
                <w:szCs w:val="21"/>
              </w:rPr>
            </w:pPr>
            <w:r>
              <w:rPr>
                <w:rFonts w:ascii="宋体" w:eastAsia="宋体" w:hAnsi="宋体" w:cs="宋体" w:hint="eastAsia"/>
                <w:szCs w:val="21"/>
              </w:rPr>
              <w:t>项目服务方案</w:t>
            </w:r>
          </w:p>
        </w:tc>
        <w:tc>
          <w:tcPr>
            <w:tcW w:w="918" w:type="dxa"/>
            <w:tcBorders>
              <w:top w:val="single" w:sz="8" w:space="0" w:color="000000"/>
              <w:left w:val="single" w:sz="8" w:space="0" w:color="000000"/>
              <w:bottom w:val="single" w:sz="8" w:space="0" w:color="000000"/>
              <w:right w:val="single" w:sz="8" w:space="0" w:color="000000"/>
            </w:tcBorders>
            <w:noWrap w:val="0"/>
            <w:vAlign w:val="top"/>
          </w:tcPr>
          <w:p>
            <w:pPr>
              <w:spacing w:line="360" w:lineRule="exact"/>
              <w:jc w:val="center"/>
              <w:rPr>
                <w:rFonts w:ascii="宋体" w:eastAsia="宋体" w:hAnsi="宋体" w:cs="宋体" w:hint="eastAsia"/>
                <w:szCs w:val="21"/>
                <w:lang w:eastAsia="zh-CN"/>
              </w:rPr>
            </w:pPr>
            <w:r>
              <w:rPr>
                <w:rFonts w:ascii="宋体" w:eastAsia="宋体" w:hAnsi="宋体" w:cs="宋体" w:hint="eastAsia"/>
                <w:szCs w:val="21"/>
                <w:lang w:val="en-US" w:eastAsia="zh-CN"/>
              </w:rPr>
              <w:t>6</w:t>
            </w:r>
          </w:p>
        </w:tc>
        <w:tc>
          <w:tcPr>
            <w:tcW w:w="4791" w:type="dxa"/>
            <w:tcBorders>
              <w:top w:val="single" w:sz="8" w:space="0" w:color="000000"/>
              <w:left w:val="single" w:sz="8" w:space="0" w:color="000000"/>
              <w:bottom w:val="single" w:sz="8" w:space="0" w:color="000000"/>
              <w:right w:val="single" w:sz="8" w:space="0" w:color="000000"/>
            </w:tcBorders>
            <w:noWrap w:val="0"/>
            <w:vAlign w:val="top"/>
          </w:tcPr>
          <w:p>
            <w:pPr>
              <w:autoSpaceDE w:val="0"/>
              <w:autoSpaceDN w:val="0"/>
              <w:adjustRightInd w:val="0"/>
              <w:spacing w:line="360" w:lineRule="exact"/>
              <w:rPr>
                <w:rFonts w:ascii="宋体" w:eastAsia="宋体" w:hAnsi="宋体" w:cs="宋体" w:hint="eastAsia"/>
                <w:szCs w:val="21"/>
                <w:lang w:val="en-US" w:eastAsia="zh-CN"/>
              </w:rPr>
            </w:pPr>
            <w:r>
              <w:rPr>
                <w:rFonts w:ascii="宋体" w:eastAsia="宋体" w:hAnsi="宋体" w:cs="宋体" w:hint="eastAsia"/>
                <w:szCs w:val="21"/>
                <w:lang w:val="en-US" w:eastAsia="zh-CN"/>
              </w:rPr>
              <w:t>（一）评分内容：</w:t>
            </w:r>
          </w:p>
          <w:p>
            <w:pPr>
              <w:autoSpaceDE w:val="0"/>
              <w:autoSpaceDN w:val="0"/>
              <w:adjustRightInd w:val="0"/>
              <w:spacing w:line="360" w:lineRule="exact"/>
              <w:rPr>
                <w:rFonts w:ascii="宋体" w:eastAsia="宋体" w:hAnsi="宋体" w:cs="宋体" w:hint="eastAsia"/>
                <w:szCs w:val="21"/>
                <w:lang w:val="en-US" w:eastAsia="zh-CN"/>
              </w:rPr>
            </w:pPr>
            <w:r>
              <w:rPr>
                <w:rFonts w:ascii="宋体" w:eastAsia="宋体" w:hAnsi="宋体" w:cs="宋体" w:hint="eastAsia"/>
                <w:szCs w:val="21"/>
                <w:lang w:val="en-US" w:eastAsia="zh-CN"/>
              </w:rPr>
              <w:t>考察投标人提供的项目服务方案，包含以下内容：</w:t>
            </w:r>
          </w:p>
          <w:p>
            <w:pPr>
              <w:autoSpaceDE w:val="0"/>
              <w:autoSpaceDN w:val="0"/>
              <w:adjustRightInd w:val="0"/>
              <w:spacing w:line="360" w:lineRule="exact"/>
              <w:rPr>
                <w:rFonts w:ascii="宋体" w:eastAsia="宋体" w:hAnsi="宋体" w:cs="宋体" w:hint="eastAsia"/>
                <w:szCs w:val="21"/>
                <w:lang w:val="en-US" w:eastAsia="zh-CN"/>
              </w:rPr>
            </w:pPr>
            <w:r>
              <w:rPr>
                <w:rFonts w:ascii="宋体" w:eastAsia="宋体" w:hAnsi="宋体" w:cs="宋体" w:hint="eastAsia"/>
                <w:szCs w:val="21"/>
                <w:lang w:val="en-US" w:eastAsia="zh-CN"/>
              </w:rPr>
              <w:t>1、对项目服务需求的理解；</w:t>
            </w:r>
          </w:p>
          <w:p>
            <w:pPr>
              <w:autoSpaceDE w:val="0"/>
              <w:autoSpaceDN w:val="0"/>
              <w:adjustRightInd w:val="0"/>
              <w:spacing w:line="360" w:lineRule="exact"/>
              <w:rPr>
                <w:rFonts w:ascii="宋体" w:eastAsia="宋体" w:hAnsi="宋体" w:cs="宋体" w:hint="eastAsia"/>
                <w:szCs w:val="21"/>
                <w:lang w:val="en-US" w:eastAsia="zh-CN"/>
              </w:rPr>
            </w:pPr>
            <w:r>
              <w:rPr>
                <w:rFonts w:ascii="宋体" w:eastAsia="宋体" w:hAnsi="宋体" w:cs="宋体" w:hint="eastAsia"/>
                <w:szCs w:val="21"/>
                <w:lang w:val="en-US" w:eastAsia="zh-CN"/>
              </w:rPr>
              <w:t>2、项目实施计划；</w:t>
            </w:r>
          </w:p>
          <w:p>
            <w:pPr>
              <w:autoSpaceDE w:val="0"/>
              <w:autoSpaceDN w:val="0"/>
              <w:adjustRightInd w:val="0"/>
              <w:spacing w:line="360" w:lineRule="exact"/>
              <w:rPr>
                <w:rFonts w:ascii="宋体" w:eastAsia="宋体" w:hAnsi="宋体" w:cs="宋体" w:hint="eastAsia"/>
                <w:szCs w:val="21"/>
                <w:lang w:val="en-US" w:eastAsia="zh-CN"/>
              </w:rPr>
            </w:pPr>
            <w:r>
              <w:rPr>
                <w:rFonts w:ascii="宋体" w:eastAsia="宋体" w:hAnsi="宋体" w:cs="宋体" w:hint="eastAsia"/>
                <w:szCs w:val="21"/>
                <w:lang w:val="en-US" w:eastAsia="zh-CN"/>
              </w:rPr>
              <w:t>3、项目管理服务承诺。</w:t>
            </w:r>
          </w:p>
          <w:p>
            <w:pPr>
              <w:autoSpaceDE w:val="0"/>
              <w:autoSpaceDN w:val="0"/>
              <w:adjustRightInd w:val="0"/>
              <w:spacing w:line="360" w:lineRule="exact"/>
              <w:rPr>
                <w:rFonts w:ascii="宋体" w:eastAsia="宋体" w:hAnsi="宋体" w:cs="宋体" w:hint="eastAsia"/>
                <w:szCs w:val="21"/>
                <w:lang w:val="en-US" w:eastAsia="zh-CN"/>
              </w:rPr>
            </w:pPr>
            <w:r>
              <w:rPr>
                <w:rFonts w:ascii="宋体" w:eastAsia="宋体" w:hAnsi="宋体" w:cs="宋体" w:hint="eastAsia"/>
                <w:szCs w:val="21"/>
                <w:lang w:val="en-US" w:eastAsia="zh-CN"/>
              </w:rPr>
              <w:t>（二）评分标准：</w:t>
            </w:r>
          </w:p>
          <w:p>
            <w:pPr>
              <w:autoSpaceDE w:val="0"/>
              <w:autoSpaceDN w:val="0"/>
              <w:adjustRightInd w:val="0"/>
              <w:spacing w:line="360" w:lineRule="exact"/>
              <w:rPr>
                <w:rFonts w:ascii="宋体" w:eastAsia="宋体" w:hAnsi="宋体" w:cs="宋体" w:hint="eastAsia"/>
                <w:szCs w:val="21"/>
                <w:lang w:val="en-US" w:eastAsia="zh-CN"/>
              </w:rPr>
            </w:pPr>
            <w:r>
              <w:rPr>
                <w:rFonts w:ascii="宋体" w:eastAsia="宋体" w:hAnsi="宋体" w:cs="宋体" w:hint="eastAsia"/>
                <w:szCs w:val="21"/>
                <w:lang w:val="en-US" w:eastAsia="zh-CN"/>
              </w:rPr>
              <w:t>方案包含以上三项内容得60分；包含以上二项内容得40分；包含以上一项内容得20分；其他情况不得分。</w:t>
            </w:r>
          </w:p>
          <w:p>
            <w:pPr>
              <w:autoSpaceDE w:val="0"/>
              <w:autoSpaceDN w:val="0"/>
              <w:adjustRightInd w:val="0"/>
              <w:spacing w:line="360" w:lineRule="exact"/>
              <w:rPr>
                <w:rFonts w:ascii="宋体" w:eastAsia="宋体" w:hAnsi="宋体" w:cs="宋体" w:hint="eastAsia"/>
                <w:szCs w:val="21"/>
                <w:lang w:val="en-US" w:eastAsia="zh-CN"/>
              </w:rPr>
            </w:pPr>
            <w:r>
              <w:rPr>
                <w:rFonts w:ascii="宋体" w:eastAsia="宋体" w:hAnsi="宋体" w:cs="宋体" w:hint="eastAsia"/>
                <w:szCs w:val="21"/>
                <w:lang w:val="en-US" w:eastAsia="zh-CN"/>
              </w:rPr>
              <w:t>在此基础上，根据方案响应情况进一步评审：</w:t>
            </w:r>
          </w:p>
          <w:p>
            <w:pPr>
              <w:autoSpaceDE w:val="0"/>
              <w:autoSpaceDN w:val="0"/>
              <w:adjustRightInd w:val="0"/>
              <w:spacing w:line="360" w:lineRule="exact"/>
              <w:rPr>
                <w:rFonts w:ascii="宋体" w:eastAsia="宋体" w:hAnsi="宋体" w:cs="宋体" w:hint="eastAsia"/>
                <w:szCs w:val="21"/>
                <w:lang w:val="en-US" w:eastAsia="zh-CN"/>
              </w:rPr>
            </w:pPr>
            <w:r>
              <w:rPr>
                <w:rFonts w:ascii="宋体" w:eastAsia="宋体" w:hAnsi="宋体" w:cs="宋体" w:hint="eastAsia"/>
                <w:szCs w:val="21"/>
                <w:lang w:val="en-US" w:eastAsia="zh-CN"/>
              </w:rPr>
              <w:t>1.优评分标准：需求理解全面、具体，实施计划可行性高，服务承诺科学合理，加40分；</w:t>
            </w:r>
          </w:p>
          <w:p>
            <w:pPr>
              <w:autoSpaceDE w:val="0"/>
              <w:autoSpaceDN w:val="0"/>
              <w:adjustRightInd w:val="0"/>
              <w:spacing w:line="360" w:lineRule="exact"/>
              <w:rPr>
                <w:rFonts w:ascii="宋体" w:eastAsia="宋体" w:hAnsi="宋体" w:cs="宋体" w:hint="eastAsia"/>
                <w:szCs w:val="21"/>
                <w:lang w:val="en-US" w:eastAsia="zh-CN"/>
              </w:rPr>
            </w:pPr>
            <w:r>
              <w:rPr>
                <w:rFonts w:ascii="宋体" w:eastAsia="宋体" w:hAnsi="宋体" w:cs="宋体" w:hint="eastAsia"/>
                <w:szCs w:val="21"/>
                <w:lang w:val="en-US" w:eastAsia="zh-CN"/>
              </w:rPr>
              <w:t>2.良评分标准：需求理解比较全面，实施计划可行性较高，服务承诺较合理，加25分；</w:t>
            </w:r>
          </w:p>
          <w:p>
            <w:pPr>
              <w:autoSpaceDE w:val="0"/>
              <w:autoSpaceDN w:val="0"/>
              <w:adjustRightInd w:val="0"/>
              <w:spacing w:line="360" w:lineRule="exact"/>
              <w:rPr>
                <w:rFonts w:ascii="宋体" w:eastAsia="宋体" w:hAnsi="宋体" w:cs="宋体" w:hint="eastAsia"/>
                <w:szCs w:val="21"/>
                <w:lang w:val="en-US" w:eastAsia="zh-CN"/>
              </w:rPr>
            </w:pPr>
            <w:r>
              <w:rPr>
                <w:rFonts w:ascii="宋体" w:eastAsia="宋体" w:hAnsi="宋体" w:cs="宋体" w:hint="eastAsia"/>
                <w:szCs w:val="21"/>
                <w:lang w:val="en-US" w:eastAsia="zh-CN"/>
              </w:rPr>
              <w:t>3.中评分标准：需求理解不够全面，实施计划可行性一般，服务承诺不够合理，加10分；</w:t>
            </w:r>
          </w:p>
          <w:p>
            <w:pPr>
              <w:autoSpaceDE w:val="0"/>
              <w:autoSpaceDN w:val="0"/>
              <w:adjustRightInd w:val="0"/>
              <w:spacing w:line="360" w:lineRule="exact"/>
              <w:rPr>
                <w:rFonts w:ascii="宋体" w:eastAsia="宋体" w:hAnsi="宋体" w:cs="宋体" w:hint="eastAsia"/>
                <w:szCs w:val="21"/>
                <w:lang w:val="en-US" w:eastAsia="zh-CN"/>
              </w:rPr>
            </w:pPr>
            <w:r>
              <w:rPr>
                <w:rFonts w:ascii="宋体" w:eastAsia="宋体" w:hAnsi="宋体" w:cs="宋体" w:hint="eastAsia"/>
                <w:szCs w:val="21"/>
                <w:lang w:val="en-US" w:eastAsia="zh-CN"/>
              </w:rPr>
              <w:t>4.差评分标准：需求理解不全面，实施计划可行性低，服务承诺不合理，不加分。</w:t>
            </w:r>
          </w:p>
          <w:p>
            <w:pPr>
              <w:spacing w:line="360" w:lineRule="exact"/>
              <w:rPr>
                <w:rFonts w:ascii="宋体" w:eastAsia="宋体" w:hAnsi="宋体" w:cs="宋体" w:hint="eastAsia"/>
                <w:szCs w:val="21"/>
              </w:rPr>
            </w:pPr>
            <w:r>
              <w:rPr>
                <w:rFonts w:ascii="宋体" w:eastAsia="宋体" w:hAnsi="宋体" w:cs="宋体" w:hint="eastAsia"/>
                <w:szCs w:val="21"/>
                <w:lang w:val="en-US" w:eastAsia="zh-CN"/>
              </w:rPr>
              <w:t>如果评审为差,要求评委书面说明理由,并记录在档。</w:t>
            </w:r>
          </w:p>
        </w:tc>
      </w:tr>
      <w:tr>
        <w:tblPrEx>
          <w:tblW w:w="9639" w:type="dxa"/>
          <w:jc w:val="center"/>
          <w:tblLayout w:type="fixed"/>
          <w:tblCellMar>
            <w:top w:w="20" w:type="dxa"/>
            <w:left w:w="108" w:type="dxa"/>
            <w:bottom w:w="20" w:type="dxa"/>
            <w:right w:w="108" w:type="dxa"/>
          </w:tblCellMar>
        </w:tblPrEx>
        <w:trPr>
          <w:jc w:val="center"/>
        </w:trPr>
        <w:tc>
          <w:tcPr>
            <w:tcW w:w="657" w:type="dxa"/>
            <w:vMerge/>
            <w:tcBorders>
              <w:left w:val="single" w:sz="8" w:space="0" w:color="000000"/>
              <w:right w:val="single" w:sz="8" w:space="0" w:color="000000"/>
            </w:tcBorders>
            <w:noWrap w:val="0"/>
            <w:vAlign w:val="center"/>
          </w:tcPr>
          <w:p>
            <w:pPr>
              <w:spacing w:line="360" w:lineRule="exact"/>
              <w:rPr>
                <w:rFonts w:ascii="宋体" w:eastAsia="宋体" w:hAnsi="宋体" w:cs="宋体"/>
                <w:b/>
                <w:bCs/>
                <w:color w:val="0000FF"/>
                <w:sz w:val="24"/>
                <w:szCs w:val="24"/>
              </w:rPr>
            </w:pPr>
          </w:p>
        </w:tc>
        <w:tc>
          <w:tcPr>
            <w:tcW w:w="657" w:type="dxa"/>
            <w:tcBorders>
              <w:top w:val="single" w:sz="8" w:space="0" w:color="000000"/>
              <w:left w:val="single" w:sz="8" w:space="0" w:color="000000"/>
              <w:bottom w:val="single" w:sz="8" w:space="0" w:color="000000"/>
              <w:right w:val="single" w:sz="8" w:space="0" w:color="000000"/>
            </w:tcBorders>
            <w:noWrap w:val="0"/>
            <w:vAlign w:val="top"/>
          </w:tcPr>
          <w:p>
            <w:pPr>
              <w:spacing w:line="360" w:lineRule="exact"/>
              <w:jc w:val="center"/>
              <w:rPr>
                <w:rFonts w:ascii="宋体" w:eastAsia="宋体" w:hAnsi="宋体" w:cs="宋体" w:hint="eastAsia"/>
                <w:szCs w:val="21"/>
              </w:rPr>
            </w:pPr>
            <w:r>
              <w:rPr>
                <w:rFonts w:ascii="宋体" w:eastAsia="宋体" w:hAnsi="宋体" w:cs="宋体" w:hint="eastAsia"/>
                <w:szCs w:val="21"/>
              </w:rPr>
              <w:t>2</w:t>
            </w:r>
          </w:p>
        </w:tc>
        <w:tc>
          <w:tcPr>
            <w:tcW w:w="2616" w:type="dxa"/>
            <w:tcBorders>
              <w:top w:val="single" w:sz="8" w:space="0" w:color="000000"/>
              <w:left w:val="single" w:sz="8" w:space="0" w:color="000000"/>
              <w:bottom w:val="single" w:sz="8" w:space="0" w:color="000000"/>
              <w:right w:val="single" w:sz="8" w:space="0" w:color="000000"/>
            </w:tcBorders>
            <w:noWrap w:val="0"/>
            <w:vAlign w:val="top"/>
          </w:tcPr>
          <w:p>
            <w:pPr>
              <w:spacing w:line="360" w:lineRule="exact"/>
              <w:rPr>
                <w:rFonts w:ascii="宋体" w:eastAsia="宋体" w:hAnsi="宋体" w:cs="宋体" w:hint="eastAsia"/>
                <w:szCs w:val="21"/>
              </w:rPr>
            </w:pPr>
            <w:r>
              <w:rPr>
                <w:rFonts w:ascii="宋体" w:eastAsia="宋体" w:hAnsi="宋体" w:cs="宋体" w:hint="eastAsia"/>
                <w:lang w:val="en-US" w:eastAsia="zh-CN"/>
              </w:rPr>
              <w:t>项目组织管理方案</w:t>
            </w:r>
          </w:p>
        </w:tc>
        <w:tc>
          <w:tcPr>
            <w:tcW w:w="918" w:type="dxa"/>
            <w:tcBorders>
              <w:top w:val="single" w:sz="8" w:space="0" w:color="000000"/>
              <w:left w:val="single" w:sz="8" w:space="0" w:color="000000"/>
              <w:bottom w:val="single" w:sz="8" w:space="0" w:color="000000"/>
              <w:right w:val="single" w:sz="8" w:space="0" w:color="000000"/>
            </w:tcBorders>
            <w:noWrap w:val="0"/>
            <w:vAlign w:val="top"/>
          </w:tcPr>
          <w:p>
            <w:pPr>
              <w:spacing w:line="360" w:lineRule="exact"/>
              <w:jc w:val="center"/>
              <w:rPr>
                <w:rFonts w:ascii="宋体" w:eastAsia="宋体" w:hAnsi="宋体" w:cs="宋体" w:hint="eastAsia"/>
                <w:szCs w:val="21"/>
              </w:rPr>
            </w:pPr>
            <w:r>
              <w:rPr>
                <w:rFonts w:ascii="宋体" w:eastAsia="宋体" w:hAnsi="宋体" w:cs="宋体" w:hint="eastAsia"/>
                <w:szCs w:val="21"/>
                <w:lang w:val="en-US" w:eastAsia="zh-CN"/>
              </w:rPr>
              <w:t>6</w:t>
            </w:r>
          </w:p>
        </w:tc>
        <w:tc>
          <w:tcPr>
            <w:tcW w:w="4791" w:type="dxa"/>
            <w:tcBorders>
              <w:top w:val="single" w:sz="8" w:space="0" w:color="000000"/>
              <w:left w:val="single" w:sz="8" w:space="0" w:color="000000"/>
              <w:bottom w:val="single" w:sz="8" w:space="0" w:color="000000"/>
              <w:right w:val="single" w:sz="8" w:space="0" w:color="000000"/>
            </w:tcBorders>
            <w:noWrap w:val="0"/>
            <w:vAlign w:val="top"/>
          </w:tcPr>
          <w:p>
            <w:pPr>
              <w:autoSpaceDE w:val="0"/>
              <w:autoSpaceDN w:val="0"/>
              <w:adjustRightInd w:val="0"/>
              <w:spacing w:line="360" w:lineRule="exact"/>
              <w:rPr>
                <w:rFonts w:ascii="宋体" w:eastAsia="宋体" w:hAnsi="宋体" w:cs="宋体" w:hint="eastAsia"/>
                <w:szCs w:val="21"/>
                <w:lang w:val="en-US" w:eastAsia="zh-CN"/>
              </w:rPr>
            </w:pPr>
            <w:r>
              <w:rPr>
                <w:rFonts w:ascii="宋体" w:eastAsia="宋体" w:hAnsi="宋体" w:cs="宋体" w:hint="eastAsia"/>
                <w:szCs w:val="21"/>
                <w:lang w:val="en-US" w:eastAsia="zh-CN"/>
              </w:rPr>
              <w:t>（一）评分内容：</w:t>
            </w:r>
          </w:p>
          <w:p>
            <w:pPr>
              <w:autoSpaceDE w:val="0"/>
              <w:autoSpaceDN w:val="0"/>
              <w:adjustRightInd w:val="0"/>
              <w:spacing w:line="360" w:lineRule="exact"/>
              <w:rPr>
                <w:rFonts w:ascii="宋体" w:eastAsia="宋体" w:hAnsi="宋体" w:cs="宋体" w:hint="eastAsia"/>
                <w:szCs w:val="21"/>
                <w:lang w:val="en-US" w:eastAsia="zh-CN"/>
              </w:rPr>
            </w:pPr>
            <w:r>
              <w:rPr>
                <w:rFonts w:ascii="宋体" w:eastAsia="宋体" w:hAnsi="宋体" w:cs="宋体" w:hint="eastAsia"/>
                <w:szCs w:val="21"/>
                <w:lang w:val="en-US" w:eastAsia="zh-CN"/>
              </w:rPr>
              <w:t>考察投标人提供的项目组织管理能力，包含以下内容：</w:t>
            </w:r>
          </w:p>
          <w:p>
            <w:pPr>
              <w:autoSpaceDE w:val="0"/>
              <w:autoSpaceDN w:val="0"/>
              <w:adjustRightInd w:val="0"/>
              <w:spacing w:line="360" w:lineRule="exact"/>
              <w:rPr>
                <w:rFonts w:ascii="宋体" w:eastAsia="宋体" w:hAnsi="宋体" w:cs="宋体" w:hint="eastAsia"/>
                <w:szCs w:val="21"/>
                <w:lang w:val="en-US" w:eastAsia="zh-CN"/>
              </w:rPr>
            </w:pPr>
            <w:r>
              <w:rPr>
                <w:rFonts w:ascii="宋体" w:eastAsia="宋体" w:hAnsi="宋体" w:cs="宋体" w:hint="eastAsia"/>
                <w:szCs w:val="21"/>
                <w:lang w:val="en-US" w:eastAsia="zh-CN"/>
              </w:rPr>
              <w:t>1、项目管理机构设立（包括服务管理团队及服务组织机构图、人员配置、岗位工作职责及分工）；</w:t>
            </w:r>
          </w:p>
          <w:p>
            <w:pPr>
              <w:autoSpaceDE w:val="0"/>
              <w:autoSpaceDN w:val="0"/>
              <w:adjustRightInd w:val="0"/>
              <w:spacing w:line="360" w:lineRule="exact"/>
              <w:rPr>
                <w:rFonts w:ascii="宋体" w:eastAsia="宋体" w:hAnsi="宋体" w:cs="宋体" w:hint="eastAsia"/>
                <w:szCs w:val="21"/>
                <w:lang w:val="en-US" w:eastAsia="zh-CN"/>
              </w:rPr>
            </w:pPr>
            <w:r>
              <w:rPr>
                <w:rFonts w:ascii="宋体" w:eastAsia="宋体" w:hAnsi="宋体" w:cs="宋体" w:hint="eastAsia"/>
                <w:szCs w:val="21"/>
                <w:lang w:val="en-US" w:eastAsia="zh-CN"/>
              </w:rPr>
              <w:t>2、项目管理运作方案（包括促进项目开展的事前、事中及事后管理、</w:t>
            </w:r>
            <w:r>
              <w:rPr>
                <w:rFonts w:ascii="宋体" w:eastAsia="宋体" w:hAnsi="宋体" w:cs="宋体" w:hint="eastAsia"/>
                <w:lang w:val="en-US" w:eastAsia="zh-CN"/>
              </w:rPr>
              <w:t>日常沟通</w:t>
            </w:r>
            <w:r>
              <w:rPr>
                <w:rFonts w:ascii="宋体" w:eastAsia="宋体" w:hAnsi="宋体" w:cs="宋体" w:hint="eastAsia"/>
              </w:rPr>
              <w:t>方案</w:t>
            </w:r>
            <w:r>
              <w:rPr>
                <w:rFonts w:ascii="宋体" w:eastAsia="宋体" w:hAnsi="宋体" w:cs="宋体" w:hint="eastAsia"/>
                <w:szCs w:val="21"/>
                <w:lang w:val="en-US" w:eastAsia="zh-CN"/>
              </w:rPr>
              <w:t>）。</w:t>
            </w:r>
          </w:p>
          <w:p>
            <w:pPr>
              <w:autoSpaceDE w:val="0"/>
              <w:autoSpaceDN w:val="0"/>
              <w:adjustRightInd w:val="0"/>
              <w:spacing w:line="360" w:lineRule="exact"/>
              <w:rPr>
                <w:rFonts w:ascii="宋体" w:eastAsia="宋体" w:hAnsi="宋体" w:cs="宋体" w:hint="eastAsia"/>
                <w:szCs w:val="21"/>
                <w:lang w:val="en-US" w:eastAsia="zh-CN"/>
              </w:rPr>
            </w:pPr>
            <w:r>
              <w:rPr>
                <w:rFonts w:ascii="宋体" w:eastAsia="宋体" w:hAnsi="宋体" w:cs="宋体" w:hint="eastAsia"/>
                <w:szCs w:val="21"/>
                <w:lang w:val="en-US" w:eastAsia="zh-CN"/>
              </w:rPr>
              <w:t>（二）评分标准：</w:t>
            </w:r>
          </w:p>
          <w:p>
            <w:pPr>
              <w:autoSpaceDE w:val="0"/>
              <w:autoSpaceDN w:val="0"/>
              <w:adjustRightInd w:val="0"/>
              <w:spacing w:line="360" w:lineRule="exact"/>
              <w:rPr>
                <w:rFonts w:ascii="宋体" w:eastAsia="宋体" w:hAnsi="宋体" w:cs="宋体" w:hint="eastAsia"/>
                <w:szCs w:val="21"/>
                <w:lang w:val="en-US" w:eastAsia="zh-CN"/>
              </w:rPr>
            </w:pPr>
            <w:r>
              <w:rPr>
                <w:rFonts w:ascii="宋体" w:eastAsia="宋体" w:hAnsi="宋体" w:cs="宋体" w:hint="eastAsia"/>
                <w:szCs w:val="21"/>
                <w:lang w:val="en-US" w:eastAsia="zh-CN"/>
              </w:rPr>
              <w:t>方案包含以上二项内容得40分；包含以上一项内容得20分；其他情况不得分。</w:t>
            </w:r>
          </w:p>
          <w:p>
            <w:pPr>
              <w:autoSpaceDE w:val="0"/>
              <w:autoSpaceDN w:val="0"/>
              <w:adjustRightInd w:val="0"/>
              <w:spacing w:line="360" w:lineRule="exact"/>
              <w:rPr>
                <w:rFonts w:ascii="宋体" w:eastAsia="宋体" w:hAnsi="宋体" w:cs="宋体" w:hint="eastAsia"/>
                <w:szCs w:val="21"/>
                <w:lang w:val="en-US" w:eastAsia="zh-CN"/>
              </w:rPr>
            </w:pPr>
            <w:r>
              <w:rPr>
                <w:rFonts w:ascii="宋体" w:eastAsia="宋体" w:hAnsi="宋体" w:cs="宋体" w:hint="eastAsia"/>
                <w:szCs w:val="21"/>
                <w:lang w:val="en-US" w:eastAsia="zh-CN"/>
              </w:rPr>
              <w:t>在此基础上，根据方案响应情况进一步评审：</w:t>
            </w:r>
          </w:p>
          <w:p>
            <w:pPr>
              <w:autoSpaceDE w:val="0"/>
              <w:autoSpaceDN w:val="0"/>
              <w:adjustRightInd w:val="0"/>
              <w:spacing w:line="360" w:lineRule="exact"/>
              <w:rPr>
                <w:rFonts w:ascii="宋体" w:eastAsia="宋体" w:hAnsi="宋体" w:cs="宋体" w:hint="eastAsia"/>
                <w:szCs w:val="21"/>
                <w:lang w:val="en-US" w:eastAsia="zh-CN"/>
              </w:rPr>
            </w:pPr>
            <w:r>
              <w:rPr>
                <w:rFonts w:ascii="宋体" w:eastAsia="宋体" w:hAnsi="宋体" w:cs="宋体" w:hint="eastAsia"/>
                <w:szCs w:val="21"/>
                <w:lang w:val="en-US" w:eastAsia="zh-CN"/>
              </w:rPr>
              <w:t>1.优评分标准：综合管理能力强，服务组织机构设立清晰、人员岗位工作职责分工明确细致，运作流程科学合理，可行性高，加60分；</w:t>
            </w:r>
          </w:p>
          <w:p>
            <w:pPr>
              <w:autoSpaceDE w:val="0"/>
              <w:autoSpaceDN w:val="0"/>
              <w:adjustRightInd w:val="0"/>
              <w:spacing w:line="360" w:lineRule="exact"/>
              <w:rPr>
                <w:rFonts w:ascii="宋体" w:eastAsia="宋体" w:hAnsi="宋体" w:cs="宋体" w:hint="eastAsia"/>
                <w:szCs w:val="21"/>
                <w:lang w:val="en-US" w:eastAsia="zh-CN"/>
              </w:rPr>
            </w:pPr>
            <w:r>
              <w:rPr>
                <w:rFonts w:ascii="宋体" w:eastAsia="宋体" w:hAnsi="宋体" w:cs="宋体" w:hint="eastAsia"/>
                <w:szCs w:val="21"/>
                <w:lang w:val="en-US" w:eastAsia="zh-CN"/>
              </w:rPr>
              <w:t>2.良评分标准：综合管理能力比较强，综合管理服务组织机构比较清晰、人员岗位工作职责分工比较细致，运作流程比较合理，可行性较高，加40分；</w:t>
            </w:r>
          </w:p>
          <w:p>
            <w:pPr>
              <w:autoSpaceDE w:val="0"/>
              <w:autoSpaceDN w:val="0"/>
              <w:adjustRightInd w:val="0"/>
              <w:spacing w:line="360" w:lineRule="exact"/>
              <w:rPr>
                <w:rFonts w:ascii="宋体" w:eastAsia="宋体" w:hAnsi="宋体" w:cs="宋体" w:hint="eastAsia"/>
                <w:szCs w:val="21"/>
                <w:lang w:val="en-US" w:eastAsia="zh-CN"/>
              </w:rPr>
            </w:pPr>
            <w:r>
              <w:rPr>
                <w:rFonts w:ascii="宋体" w:eastAsia="宋体" w:hAnsi="宋体" w:cs="宋体" w:hint="eastAsia"/>
                <w:szCs w:val="21"/>
                <w:lang w:val="en-US" w:eastAsia="zh-CN"/>
              </w:rPr>
              <w:t>3.中评分标准：综合管理能力比较一般，服务组织机构设立一般、人员岗位工作职责分工比较一般，运作流程合理性一般，可行性一般，加20分；</w:t>
            </w:r>
          </w:p>
          <w:p>
            <w:pPr>
              <w:autoSpaceDE w:val="0"/>
              <w:autoSpaceDN w:val="0"/>
              <w:adjustRightInd w:val="0"/>
              <w:spacing w:line="360" w:lineRule="exact"/>
              <w:rPr>
                <w:rFonts w:ascii="宋体" w:eastAsia="宋体" w:hAnsi="宋体" w:cs="宋体" w:hint="eastAsia"/>
                <w:szCs w:val="21"/>
                <w:lang w:val="en-US" w:eastAsia="zh-CN"/>
              </w:rPr>
            </w:pPr>
            <w:r>
              <w:rPr>
                <w:rFonts w:ascii="宋体" w:eastAsia="宋体" w:hAnsi="宋体" w:cs="宋体" w:hint="eastAsia"/>
                <w:szCs w:val="21"/>
                <w:lang w:val="en-US" w:eastAsia="zh-CN"/>
              </w:rPr>
              <w:t>4.差评分标准：综合管理能力弱，服务组织机构不全、人员岗位工作职责分工比较一般，运作流程不够合理，可行性低，不加分。</w:t>
            </w:r>
          </w:p>
          <w:p>
            <w:pPr>
              <w:autoSpaceDE w:val="0"/>
              <w:autoSpaceDN w:val="0"/>
              <w:adjustRightInd w:val="0"/>
              <w:spacing w:line="360" w:lineRule="exact"/>
              <w:rPr>
                <w:rFonts w:ascii="宋体" w:eastAsia="宋体" w:hAnsi="宋体" w:cs="宋体" w:hint="eastAsia"/>
                <w:szCs w:val="21"/>
              </w:rPr>
            </w:pPr>
            <w:r>
              <w:rPr>
                <w:rFonts w:ascii="宋体" w:eastAsia="宋体" w:hAnsi="宋体" w:cs="宋体" w:hint="eastAsia"/>
                <w:szCs w:val="21"/>
                <w:lang w:val="en-US" w:eastAsia="zh-CN"/>
              </w:rPr>
              <w:t>如果评审为差,要求评委书面说明理由,并记录在档。</w:t>
            </w:r>
          </w:p>
        </w:tc>
      </w:tr>
      <w:tr>
        <w:tblPrEx>
          <w:tblW w:w="9639" w:type="dxa"/>
          <w:jc w:val="center"/>
          <w:tblLayout w:type="fixed"/>
          <w:tblCellMar>
            <w:top w:w="20" w:type="dxa"/>
            <w:left w:w="108" w:type="dxa"/>
            <w:bottom w:w="20" w:type="dxa"/>
            <w:right w:w="108" w:type="dxa"/>
          </w:tblCellMar>
        </w:tblPrEx>
        <w:trPr>
          <w:jc w:val="center"/>
        </w:trPr>
        <w:tc>
          <w:tcPr>
            <w:tcW w:w="657" w:type="dxa"/>
            <w:vMerge/>
            <w:tcBorders>
              <w:left w:val="single" w:sz="8" w:space="0" w:color="000000"/>
              <w:right w:val="single" w:sz="8" w:space="0" w:color="000000"/>
            </w:tcBorders>
            <w:noWrap w:val="0"/>
            <w:vAlign w:val="center"/>
          </w:tcPr>
          <w:p>
            <w:pPr>
              <w:spacing w:line="360" w:lineRule="exact"/>
              <w:rPr>
                <w:rFonts w:ascii="宋体" w:eastAsia="宋体" w:hAnsi="宋体" w:cs="宋体"/>
                <w:b/>
                <w:bCs/>
                <w:color w:val="0000FF"/>
                <w:sz w:val="24"/>
                <w:szCs w:val="24"/>
              </w:rPr>
            </w:pPr>
          </w:p>
        </w:tc>
        <w:tc>
          <w:tcPr>
            <w:tcW w:w="657" w:type="dxa"/>
            <w:tcBorders>
              <w:top w:val="single" w:sz="8" w:space="0" w:color="000000"/>
              <w:left w:val="single" w:sz="8" w:space="0" w:color="000000"/>
              <w:bottom w:val="single" w:sz="8" w:space="0" w:color="000000"/>
              <w:right w:val="single" w:sz="8" w:space="0" w:color="000000"/>
            </w:tcBorders>
            <w:noWrap w:val="0"/>
            <w:vAlign w:val="top"/>
          </w:tcPr>
          <w:p>
            <w:pPr>
              <w:spacing w:line="360" w:lineRule="exact"/>
              <w:jc w:val="center"/>
              <w:rPr>
                <w:rFonts w:ascii="宋体" w:eastAsia="宋体" w:hAnsi="宋体" w:cs="宋体" w:hint="eastAsia"/>
                <w:szCs w:val="21"/>
              </w:rPr>
            </w:pPr>
            <w:r>
              <w:rPr>
                <w:rFonts w:ascii="宋体" w:eastAsia="宋体" w:hAnsi="宋体" w:cs="宋体" w:hint="eastAsia"/>
                <w:szCs w:val="21"/>
              </w:rPr>
              <w:t>3</w:t>
            </w:r>
          </w:p>
        </w:tc>
        <w:tc>
          <w:tcPr>
            <w:tcW w:w="2616" w:type="dxa"/>
            <w:tcBorders>
              <w:top w:val="single" w:sz="8" w:space="0" w:color="000000"/>
              <w:left w:val="single" w:sz="8" w:space="0" w:color="000000"/>
              <w:bottom w:val="single" w:sz="8" w:space="0" w:color="000000"/>
              <w:right w:val="single" w:sz="8" w:space="0" w:color="000000"/>
            </w:tcBorders>
            <w:noWrap w:val="0"/>
            <w:vAlign w:val="top"/>
          </w:tcPr>
          <w:p>
            <w:pPr>
              <w:spacing w:line="360" w:lineRule="exact"/>
              <w:rPr>
                <w:rFonts w:ascii="宋体" w:eastAsia="宋体" w:hAnsi="宋体" w:cs="宋体" w:hint="eastAsia"/>
                <w:szCs w:val="21"/>
              </w:rPr>
            </w:pPr>
            <w:r>
              <w:rPr>
                <w:rFonts w:ascii="宋体" w:eastAsia="宋体" w:hAnsi="宋体" w:cs="宋体" w:hint="eastAsia"/>
                <w:szCs w:val="21"/>
              </w:rPr>
              <w:t>医务人员</w:t>
            </w:r>
            <w:r>
              <w:rPr>
                <w:rFonts w:ascii="宋体" w:eastAsia="宋体" w:hAnsi="宋体" w:cs="宋体" w:hint="eastAsia"/>
                <w:szCs w:val="21"/>
                <w:lang w:val="en-US" w:eastAsia="zh-CN"/>
              </w:rPr>
              <w:t>稳定性保障方案</w:t>
            </w:r>
          </w:p>
        </w:tc>
        <w:tc>
          <w:tcPr>
            <w:tcW w:w="918" w:type="dxa"/>
            <w:tcBorders>
              <w:top w:val="single" w:sz="8" w:space="0" w:color="000000"/>
              <w:left w:val="single" w:sz="8" w:space="0" w:color="000000"/>
              <w:bottom w:val="single" w:sz="8" w:space="0" w:color="000000"/>
              <w:right w:val="single" w:sz="8" w:space="0" w:color="000000"/>
            </w:tcBorders>
            <w:noWrap w:val="0"/>
            <w:vAlign w:val="top"/>
          </w:tcPr>
          <w:p>
            <w:pPr>
              <w:spacing w:line="360" w:lineRule="exact"/>
              <w:jc w:val="center"/>
              <w:rPr>
                <w:rFonts w:ascii="宋体" w:eastAsia="宋体" w:hAnsi="宋体" w:cs="宋体" w:hint="eastAsia"/>
                <w:szCs w:val="21"/>
                <w:lang w:eastAsia="zh-CN"/>
              </w:rPr>
            </w:pPr>
            <w:r>
              <w:rPr>
                <w:rFonts w:ascii="宋体" w:eastAsia="宋体" w:hAnsi="宋体" w:cs="宋体" w:hint="eastAsia"/>
                <w:szCs w:val="21"/>
                <w:lang w:val="en-US" w:eastAsia="zh-CN"/>
              </w:rPr>
              <w:t>6</w:t>
            </w:r>
          </w:p>
        </w:tc>
        <w:tc>
          <w:tcPr>
            <w:tcW w:w="4791" w:type="dxa"/>
            <w:tcBorders>
              <w:top w:val="single" w:sz="8" w:space="0" w:color="000000"/>
              <w:left w:val="single" w:sz="8" w:space="0" w:color="000000"/>
              <w:bottom w:val="single" w:sz="8" w:space="0" w:color="000000"/>
              <w:right w:val="single" w:sz="8" w:space="0" w:color="000000"/>
            </w:tcBorders>
            <w:noWrap w:val="0"/>
            <w:vAlign w:val="top"/>
          </w:tcPr>
          <w:p>
            <w:pPr>
              <w:spacing w:line="360" w:lineRule="exact"/>
              <w:rPr>
                <w:rFonts w:ascii="宋体" w:eastAsia="宋体" w:hAnsi="宋体" w:cs="宋体" w:hint="eastAsia"/>
                <w:color w:val="auto"/>
                <w:szCs w:val="21"/>
              </w:rPr>
            </w:pPr>
            <w:r>
              <w:rPr>
                <w:rFonts w:ascii="宋体" w:eastAsia="宋体" w:hAnsi="宋体" w:cs="宋体" w:hint="eastAsia"/>
                <w:color w:val="auto"/>
                <w:szCs w:val="21"/>
              </w:rPr>
              <w:t>（一）评分内容：</w:t>
            </w:r>
          </w:p>
          <w:p>
            <w:pPr>
              <w:spacing w:line="360" w:lineRule="exact"/>
              <w:rPr>
                <w:rFonts w:ascii="宋体" w:eastAsia="宋体" w:hAnsi="宋体" w:cs="宋体" w:hint="eastAsia"/>
                <w:color w:val="auto"/>
                <w:szCs w:val="21"/>
              </w:rPr>
            </w:pPr>
            <w:r>
              <w:rPr>
                <w:rFonts w:ascii="宋体" w:eastAsia="宋体" w:hAnsi="宋体" w:cs="宋体" w:hint="eastAsia"/>
                <w:color w:val="auto"/>
                <w:szCs w:val="21"/>
              </w:rPr>
              <w:t>考察投标人提供的</w:t>
            </w:r>
            <w:r>
              <w:rPr>
                <w:rFonts w:ascii="宋体" w:eastAsia="宋体" w:hAnsi="宋体" w:cs="宋体" w:hint="eastAsia"/>
                <w:color w:val="auto"/>
                <w:szCs w:val="21"/>
                <w:lang w:val="en-US" w:eastAsia="zh-CN"/>
              </w:rPr>
              <w:t>医务人员稳定性保障</w:t>
            </w:r>
            <w:r>
              <w:rPr>
                <w:rFonts w:ascii="宋体" w:eastAsia="宋体" w:hAnsi="宋体" w:cs="宋体" w:hint="eastAsia"/>
                <w:color w:val="auto"/>
                <w:szCs w:val="21"/>
              </w:rPr>
              <w:t>能力，包含以下内容：</w:t>
            </w:r>
          </w:p>
          <w:p>
            <w:pPr>
              <w:spacing w:line="360" w:lineRule="exact"/>
              <w:rPr>
                <w:rFonts w:ascii="宋体" w:eastAsia="宋体" w:hAnsi="宋体" w:cs="宋体" w:hint="eastAsia"/>
                <w:color w:val="auto"/>
                <w:szCs w:val="21"/>
                <w:lang w:eastAsia="zh-CN"/>
              </w:rPr>
            </w:pPr>
            <w:r>
              <w:rPr>
                <w:rFonts w:ascii="宋体" w:eastAsia="宋体" w:hAnsi="宋体" w:cs="宋体" w:hint="eastAsia"/>
                <w:color w:val="auto"/>
                <w:szCs w:val="21"/>
              </w:rPr>
              <w:t>1、</w:t>
            </w:r>
            <w:r>
              <w:rPr>
                <w:rFonts w:ascii="宋体" w:eastAsia="宋体" w:hAnsi="宋体" w:cs="宋体" w:hint="eastAsia"/>
                <w:color w:val="auto"/>
                <w:szCs w:val="21"/>
                <w:lang w:val="en-US" w:eastAsia="zh-CN"/>
              </w:rPr>
              <w:t>驻点</w:t>
            </w:r>
            <w:r>
              <w:rPr>
                <w:rFonts w:ascii="宋体" w:eastAsia="宋体" w:hAnsi="宋体" w:cs="宋体" w:hint="eastAsia"/>
                <w:color w:val="auto"/>
                <w:szCs w:val="21"/>
              </w:rPr>
              <w:t>医务人员轮班制度（包括但不限于轮班人员分工、轮班时间安排、人员请休假及人员接替机制）</w:t>
            </w:r>
            <w:r>
              <w:rPr>
                <w:rFonts w:ascii="宋体" w:eastAsia="宋体" w:hAnsi="宋体" w:cs="宋体" w:hint="eastAsia"/>
                <w:color w:val="auto"/>
                <w:szCs w:val="21"/>
                <w:lang w:eastAsia="zh-CN"/>
              </w:rPr>
              <w:t>；</w:t>
            </w:r>
          </w:p>
          <w:p>
            <w:pPr>
              <w:spacing w:line="360" w:lineRule="exact"/>
              <w:rPr>
                <w:rFonts w:ascii="宋体" w:eastAsia="宋体" w:hAnsi="宋体" w:cs="宋体" w:hint="eastAsia"/>
                <w:color w:val="auto"/>
                <w:szCs w:val="21"/>
                <w:lang w:val="en-US" w:eastAsia="zh-CN"/>
              </w:rPr>
            </w:pPr>
            <w:r>
              <w:rPr>
                <w:rFonts w:ascii="宋体" w:eastAsia="宋体" w:hAnsi="宋体" w:cs="宋体" w:hint="eastAsia"/>
                <w:color w:val="auto"/>
                <w:szCs w:val="21"/>
                <w:lang w:val="en-US" w:eastAsia="zh-CN"/>
              </w:rPr>
              <w:t>2、驻点医护人员稳定性保障方案（薪酬福利、绩效、奖惩等）；</w:t>
            </w:r>
          </w:p>
          <w:p>
            <w:pPr>
              <w:spacing w:line="360" w:lineRule="exact"/>
              <w:rPr>
                <w:rFonts w:ascii="宋体" w:eastAsia="宋体" w:hAnsi="宋体" w:cs="宋体" w:hint="eastAsia"/>
                <w:color w:val="auto"/>
                <w:lang w:val="en-US" w:eastAsia="zh-CN"/>
              </w:rPr>
            </w:pPr>
            <w:r>
              <w:rPr>
                <w:rFonts w:ascii="宋体" w:eastAsia="宋体" w:hAnsi="宋体" w:cs="宋体" w:hint="eastAsia"/>
                <w:color w:val="auto"/>
                <w:szCs w:val="21"/>
                <w:lang w:val="en-US" w:eastAsia="zh-CN"/>
              </w:rPr>
              <w:t>3、</w:t>
            </w:r>
            <w:r>
              <w:rPr>
                <w:rFonts w:ascii="宋体" w:eastAsia="宋体" w:hAnsi="宋体" w:cs="宋体" w:hint="eastAsia"/>
                <w:color w:val="auto"/>
              </w:rPr>
              <w:t>服务人员的培训</w:t>
            </w:r>
            <w:r>
              <w:rPr>
                <w:rFonts w:ascii="宋体" w:eastAsia="宋体" w:hAnsi="宋体" w:cs="宋体" w:hint="eastAsia"/>
                <w:color w:val="auto"/>
                <w:lang w:val="en-US" w:eastAsia="zh-CN"/>
              </w:rPr>
              <w:t>方案。</w:t>
            </w:r>
          </w:p>
          <w:p>
            <w:pPr>
              <w:spacing w:line="360" w:lineRule="exact"/>
              <w:rPr>
                <w:rFonts w:ascii="宋体" w:eastAsia="宋体" w:hAnsi="宋体" w:cs="宋体" w:hint="eastAsia"/>
                <w:color w:val="auto"/>
              </w:rPr>
            </w:pPr>
            <w:r>
              <w:rPr>
                <w:rFonts w:ascii="宋体" w:eastAsia="宋体" w:hAnsi="宋体" w:cs="宋体" w:hint="eastAsia"/>
                <w:color w:val="auto"/>
              </w:rPr>
              <w:t>（二）评分标准：</w:t>
            </w:r>
          </w:p>
          <w:p>
            <w:pPr>
              <w:spacing w:line="360" w:lineRule="exact"/>
              <w:rPr>
                <w:rFonts w:ascii="宋体" w:eastAsia="宋体" w:hAnsi="宋体" w:cs="宋体" w:hint="eastAsia"/>
                <w:color w:val="auto"/>
              </w:rPr>
            </w:pPr>
            <w:r>
              <w:rPr>
                <w:rFonts w:ascii="宋体" w:eastAsia="宋体" w:hAnsi="宋体" w:cs="宋体" w:hint="eastAsia"/>
                <w:color w:val="auto"/>
              </w:rPr>
              <w:t>方案包含以上三项内容得</w:t>
            </w:r>
            <w:r>
              <w:rPr>
                <w:rFonts w:ascii="宋体" w:eastAsia="宋体" w:hAnsi="宋体" w:cs="宋体" w:hint="eastAsia"/>
                <w:color w:val="auto"/>
                <w:lang w:val="en-US" w:eastAsia="zh-CN"/>
              </w:rPr>
              <w:t>6</w:t>
            </w:r>
            <w:r>
              <w:rPr>
                <w:rFonts w:ascii="宋体" w:eastAsia="宋体" w:hAnsi="宋体" w:cs="宋体" w:hint="eastAsia"/>
                <w:color w:val="auto"/>
              </w:rPr>
              <w:t>0分；包含以上二项内容得</w:t>
            </w:r>
            <w:r>
              <w:rPr>
                <w:rFonts w:ascii="宋体" w:eastAsia="宋体" w:hAnsi="宋体" w:cs="宋体" w:hint="eastAsia"/>
                <w:color w:val="auto"/>
                <w:lang w:val="en-US" w:eastAsia="zh-CN"/>
              </w:rPr>
              <w:t>4</w:t>
            </w:r>
            <w:r>
              <w:rPr>
                <w:rFonts w:ascii="宋体" w:eastAsia="宋体" w:hAnsi="宋体" w:cs="宋体" w:hint="eastAsia"/>
                <w:color w:val="auto"/>
              </w:rPr>
              <w:t>0分；包含以上一项内容得</w:t>
            </w:r>
            <w:r>
              <w:rPr>
                <w:rFonts w:ascii="宋体" w:eastAsia="宋体" w:hAnsi="宋体" w:cs="宋体" w:hint="eastAsia"/>
                <w:color w:val="auto"/>
                <w:lang w:val="en-US" w:eastAsia="zh-CN"/>
              </w:rPr>
              <w:t>2</w:t>
            </w:r>
            <w:r>
              <w:rPr>
                <w:rFonts w:ascii="宋体" w:eastAsia="宋体" w:hAnsi="宋体" w:cs="宋体" w:hint="eastAsia"/>
                <w:color w:val="auto"/>
              </w:rPr>
              <w:t>0分；其他情况不得分。</w:t>
            </w:r>
          </w:p>
          <w:p>
            <w:pPr>
              <w:spacing w:line="360" w:lineRule="exact"/>
              <w:rPr>
                <w:rFonts w:ascii="宋体" w:eastAsia="宋体" w:hAnsi="宋体" w:cs="宋体" w:hint="eastAsia"/>
                <w:color w:val="auto"/>
              </w:rPr>
            </w:pPr>
            <w:r>
              <w:rPr>
                <w:rFonts w:ascii="宋体" w:eastAsia="宋体" w:hAnsi="宋体" w:cs="宋体" w:hint="eastAsia"/>
                <w:color w:val="auto"/>
              </w:rPr>
              <w:t>在此基础上，根据方案响应情况进一步评审：</w:t>
            </w:r>
          </w:p>
          <w:p>
            <w:pPr>
              <w:spacing w:line="360" w:lineRule="exact"/>
              <w:rPr>
                <w:rFonts w:ascii="宋体" w:eastAsia="宋体" w:hAnsi="宋体" w:cs="宋体" w:hint="eastAsia"/>
                <w:color w:val="auto"/>
              </w:rPr>
            </w:pPr>
            <w:r>
              <w:rPr>
                <w:rFonts w:ascii="宋体" w:eastAsia="宋体" w:hAnsi="宋体" w:cs="宋体" w:hint="eastAsia"/>
                <w:color w:val="auto"/>
              </w:rPr>
              <w:t>1.</w:t>
            </w:r>
            <w:r>
              <w:rPr>
                <w:rFonts w:ascii="宋体" w:eastAsia="宋体" w:hAnsi="宋体" w:cs="宋体" w:hint="eastAsia"/>
                <w:color w:val="auto"/>
                <w:lang w:val="en-US" w:eastAsia="zh-CN"/>
              </w:rPr>
              <w:t>优评分标准</w:t>
            </w:r>
            <w:r>
              <w:rPr>
                <w:rFonts w:ascii="宋体" w:eastAsia="宋体" w:hAnsi="宋体" w:cs="宋体" w:hint="eastAsia"/>
                <w:color w:val="auto"/>
                <w:lang w:eastAsia="zh-CN"/>
              </w:rPr>
              <w:t>：</w:t>
            </w:r>
            <w:r>
              <w:rPr>
                <w:rFonts w:ascii="宋体" w:eastAsia="宋体" w:hAnsi="宋体" w:cs="宋体" w:hint="eastAsia"/>
                <w:color w:val="auto"/>
                <w:lang w:val="en-US" w:eastAsia="zh-CN"/>
              </w:rPr>
              <w:t>驻点</w:t>
            </w:r>
            <w:r>
              <w:rPr>
                <w:rFonts w:ascii="宋体" w:eastAsia="宋体" w:hAnsi="宋体" w:cs="宋体" w:hint="eastAsia"/>
                <w:color w:val="auto"/>
              </w:rPr>
              <w:t>医务人员轮班制度全面、具体，</w:t>
            </w:r>
            <w:r>
              <w:rPr>
                <w:rFonts w:ascii="宋体" w:eastAsia="宋体" w:hAnsi="宋体" w:cs="宋体" w:hint="eastAsia"/>
                <w:color w:val="auto"/>
                <w:lang w:val="en-US" w:eastAsia="zh-CN"/>
              </w:rPr>
              <w:t>驻点医护人员稳定性保障方案可行性高，</w:t>
            </w:r>
            <w:r>
              <w:rPr>
                <w:rFonts w:ascii="宋体" w:eastAsia="宋体" w:hAnsi="宋体" w:cs="宋体" w:hint="eastAsia"/>
                <w:color w:val="auto"/>
              </w:rPr>
              <w:t>服务人员的培训</w:t>
            </w:r>
            <w:r>
              <w:rPr>
                <w:rFonts w:ascii="宋体" w:eastAsia="宋体" w:hAnsi="宋体" w:cs="宋体" w:hint="eastAsia"/>
                <w:color w:val="auto"/>
                <w:lang w:val="en-US" w:eastAsia="zh-CN"/>
              </w:rPr>
              <w:t>方案科学合理性高，</w:t>
            </w:r>
            <w:r>
              <w:rPr>
                <w:rFonts w:ascii="宋体" w:eastAsia="宋体" w:hAnsi="宋体" w:cs="宋体" w:hint="eastAsia"/>
                <w:color w:val="auto"/>
              </w:rPr>
              <w:t>加</w:t>
            </w:r>
            <w:r>
              <w:rPr>
                <w:rFonts w:ascii="宋体" w:eastAsia="宋体" w:hAnsi="宋体" w:cs="宋体" w:hint="eastAsia"/>
                <w:color w:val="auto"/>
                <w:lang w:val="en-US" w:eastAsia="zh-CN"/>
              </w:rPr>
              <w:t>4</w:t>
            </w:r>
            <w:r>
              <w:rPr>
                <w:rFonts w:ascii="宋体" w:eastAsia="宋体" w:hAnsi="宋体" w:cs="宋体" w:hint="eastAsia"/>
                <w:color w:val="auto"/>
              </w:rPr>
              <w:t>0分；</w:t>
            </w:r>
          </w:p>
          <w:p>
            <w:pPr>
              <w:spacing w:line="360" w:lineRule="exact"/>
              <w:rPr>
                <w:rFonts w:ascii="宋体" w:eastAsia="宋体" w:hAnsi="宋体" w:cs="宋体" w:hint="eastAsia"/>
                <w:color w:val="auto"/>
              </w:rPr>
            </w:pPr>
            <w:r>
              <w:rPr>
                <w:rFonts w:ascii="宋体" w:eastAsia="宋体" w:hAnsi="宋体" w:cs="宋体" w:hint="eastAsia"/>
                <w:color w:val="auto"/>
              </w:rPr>
              <w:t>2.良</w:t>
            </w:r>
            <w:r>
              <w:rPr>
                <w:rFonts w:ascii="宋体" w:eastAsia="宋体" w:hAnsi="宋体" w:cs="宋体" w:hint="eastAsia"/>
                <w:color w:val="auto"/>
                <w:lang w:val="en-US" w:eastAsia="zh-CN"/>
              </w:rPr>
              <w:t>评分标准</w:t>
            </w:r>
            <w:r>
              <w:rPr>
                <w:rFonts w:ascii="宋体" w:eastAsia="宋体" w:hAnsi="宋体" w:cs="宋体" w:hint="eastAsia"/>
                <w:color w:val="auto"/>
                <w:lang w:eastAsia="zh-CN"/>
              </w:rPr>
              <w:t>：</w:t>
            </w:r>
            <w:r>
              <w:rPr>
                <w:rFonts w:ascii="宋体" w:eastAsia="宋体" w:hAnsi="宋体" w:cs="宋体" w:hint="eastAsia"/>
                <w:color w:val="auto"/>
                <w:lang w:val="en-US" w:eastAsia="zh-CN"/>
              </w:rPr>
              <w:t>驻点</w:t>
            </w:r>
            <w:r>
              <w:rPr>
                <w:rFonts w:ascii="宋体" w:eastAsia="宋体" w:hAnsi="宋体" w:cs="宋体" w:hint="eastAsia"/>
                <w:color w:val="auto"/>
              </w:rPr>
              <w:t>医务人员轮班制度</w:t>
            </w:r>
            <w:r>
              <w:rPr>
                <w:rFonts w:ascii="宋体" w:eastAsia="宋体" w:hAnsi="宋体" w:cs="宋体" w:hint="eastAsia"/>
                <w:color w:val="auto"/>
                <w:lang w:val="en-US" w:eastAsia="zh-CN"/>
              </w:rPr>
              <w:t>比较</w:t>
            </w:r>
            <w:r>
              <w:rPr>
                <w:rFonts w:ascii="宋体" w:eastAsia="宋体" w:hAnsi="宋体" w:cs="宋体" w:hint="eastAsia"/>
                <w:color w:val="auto"/>
              </w:rPr>
              <w:t>全面、具体，</w:t>
            </w:r>
            <w:r>
              <w:rPr>
                <w:rFonts w:ascii="宋体" w:eastAsia="宋体" w:hAnsi="宋体" w:cs="宋体" w:hint="eastAsia"/>
                <w:color w:val="auto"/>
                <w:lang w:val="en-US" w:eastAsia="zh-CN"/>
              </w:rPr>
              <w:t>驻点医护人员稳定性保障方案可行性较高，</w:t>
            </w:r>
            <w:r>
              <w:rPr>
                <w:rFonts w:ascii="宋体" w:eastAsia="宋体" w:hAnsi="宋体" w:cs="宋体" w:hint="eastAsia"/>
                <w:color w:val="auto"/>
              </w:rPr>
              <w:t>服务人员的培训</w:t>
            </w:r>
            <w:r>
              <w:rPr>
                <w:rFonts w:ascii="宋体" w:eastAsia="宋体" w:hAnsi="宋体" w:cs="宋体" w:hint="eastAsia"/>
                <w:color w:val="auto"/>
                <w:lang w:val="en-US" w:eastAsia="zh-CN"/>
              </w:rPr>
              <w:t>方案科学合理性较高，</w:t>
            </w:r>
            <w:r>
              <w:rPr>
                <w:rFonts w:ascii="宋体" w:eastAsia="宋体" w:hAnsi="宋体" w:cs="宋体" w:hint="eastAsia"/>
                <w:color w:val="auto"/>
              </w:rPr>
              <w:t>加</w:t>
            </w:r>
            <w:r>
              <w:rPr>
                <w:rFonts w:ascii="宋体" w:eastAsia="宋体" w:hAnsi="宋体" w:cs="宋体" w:hint="eastAsia"/>
                <w:color w:val="auto"/>
                <w:lang w:val="en-US" w:eastAsia="zh-CN"/>
              </w:rPr>
              <w:t>25</w:t>
            </w:r>
            <w:r>
              <w:rPr>
                <w:rFonts w:ascii="宋体" w:eastAsia="宋体" w:hAnsi="宋体" w:cs="宋体" w:hint="eastAsia"/>
                <w:color w:val="auto"/>
              </w:rPr>
              <w:t>分；</w:t>
            </w:r>
          </w:p>
          <w:p>
            <w:pPr>
              <w:spacing w:line="360" w:lineRule="exact"/>
              <w:rPr>
                <w:rFonts w:ascii="宋体" w:eastAsia="宋体" w:hAnsi="宋体" w:cs="宋体" w:hint="eastAsia"/>
                <w:color w:val="auto"/>
              </w:rPr>
            </w:pPr>
            <w:r>
              <w:rPr>
                <w:rFonts w:ascii="宋体" w:eastAsia="宋体" w:hAnsi="宋体" w:cs="宋体" w:hint="eastAsia"/>
                <w:color w:val="auto"/>
              </w:rPr>
              <w:t>3.</w:t>
            </w:r>
            <w:r>
              <w:rPr>
                <w:rFonts w:ascii="宋体" w:eastAsia="宋体" w:hAnsi="宋体" w:cs="宋体" w:hint="eastAsia"/>
                <w:color w:val="auto"/>
                <w:lang w:eastAsia="zh-CN"/>
              </w:rPr>
              <w:t>中</w:t>
            </w:r>
            <w:r>
              <w:rPr>
                <w:rFonts w:ascii="宋体" w:eastAsia="宋体" w:hAnsi="宋体" w:cs="宋体" w:hint="eastAsia"/>
                <w:color w:val="auto"/>
                <w:lang w:val="en-US" w:eastAsia="zh-CN"/>
              </w:rPr>
              <w:t>评分标准</w:t>
            </w:r>
            <w:r>
              <w:rPr>
                <w:rFonts w:ascii="宋体" w:eastAsia="宋体" w:hAnsi="宋体" w:cs="宋体" w:hint="eastAsia"/>
                <w:color w:val="auto"/>
                <w:lang w:eastAsia="zh-CN"/>
              </w:rPr>
              <w:t>：</w:t>
            </w:r>
            <w:r>
              <w:rPr>
                <w:rFonts w:ascii="宋体" w:eastAsia="宋体" w:hAnsi="宋体" w:cs="宋体" w:hint="eastAsia"/>
                <w:color w:val="auto"/>
                <w:lang w:val="en-US" w:eastAsia="zh-CN"/>
              </w:rPr>
              <w:t>驻点</w:t>
            </w:r>
            <w:r>
              <w:rPr>
                <w:rFonts w:ascii="宋体" w:eastAsia="宋体" w:hAnsi="宋体" w:cs="宋体" w:hint="eastAsia"/>
                <w:color w:val="auto"/>
              </w:rPr>
              <w:t>医务人员轮班制度</w:t>
            </w:r>
            <w:r>
              <w:rPr>
                <w:rFonts w:ascii="宋体" w:eastAsia="宋体" w:hAnsi="宋体" w:cs="宋体" w:hint="eastAsia"/>
                <w:color w:val="auto"/>
                <w:szCs w:val="21"/>
                <w:lang w:val="en-US" w:eastAsia="zh-CN"/>
              </w:rPr>
              <w:t>立不够全面</w:t>
            </w:r>
            <w:r>
              <w:rPr>
                <w:rFonts w:ascii="宋体" w:eastAsia="宋体" w:hAnsi="宋体" w:cs="宋体" w:hint="eastAsia"/>
                <w:color w:val="auto"/>
              </w:rPr>
              <w:t>，</w:t>
            </w:r>
            <w:r>
              <w:rPr>
                <w:rFonts w:ascii="宋体" w:eastAsia="宋体" w:hAnsi="宋体" w:cs="宋体" w:hint="eastAsia"/>
                <w:color w:val="auto"/>
                <w:lang w:val="en-US" w:eastAsia="zh-CN"/>
              </w:rPr>
              <w:t>驻点医护人员稳定性保障方案可行性</w:t>
            </w:r>
            <w:r>
              <w:rPr>
                <w:rFonts w:ascii="宋体" w:eastAsia="宋体" w:hAnsi="宋体" w:cs="宋体" w:hint="eastAsia"/>
                <w:color w:val="auto"/>
                <w:szCs w:val="21"/>
                <w:lang w:val="en-US" w:eastAsia="zh-CN"/>
              </w:rPr>
              <w:t>一般</w:t>
            </w:r>
            <w:r>
              <w:rPr>
                <w:rFonts w:ascii="宋体" w:eastAsia="宋体" w:hAnsi="宋体" w:cs="宋体" w:hint="eastAsia"/>
                <w:color w:val="auto"/>
                <w:lang w:val="en-US" w:eastAsia="zh-CN"/>
              </w:rPr>
              <w:t>，</w:t>
            </w:r>
            <w:r>
              <w:rPr>
                <w:rFonts w:ascii="宋体" w:eastAsia="宋体" w:hAnsi="宋体" w:cs="宋体" w:hint="eastAsia"/>
                <w:color w:val="auto"/>
              </w:rPr>
              <w:t>服务人员的培训</w:t>
            </w:r>
            <w:r>
              <w:rPr>
                <w:rFonts w:ascii="宋体" w:eastAsia="宋体" w:hAnsi="宋体" w:cs="宋体" w:hint="eastAsia"/>
                <w:color w:val="auto"/>
                <w:lang w:val="en-US" w:eastAsia="zh-CN"/>
              </w:rPr>
              <w:t>方案不够合理，</w:t>
            </w:r>
            <w:r>
              <w:rPr>
                <w:rFonts w:ascii="宋体" w:eastAsia="宋体" w:hAnsi="宋体" w:cs="宋体" w:hint="eastAsia"/>
                <w:color w:val="auto"/>
              </w:rPr>
              <w:t>加</w:t>
            </w:r>
            <w:r>
              <w:rPr>
                <w:rFonts w:ascii="宋体" w:eastAsia="宋体" w:hAnsi="宋体" w:cs="宋体" w:hint="eastAsia"/>
                <w:color w:val="auto"/>
                <w:lang w:val="en-US" w:eastAsia="zh-CN"/>
              </w:rPr>
              <w:t>10</w:t>
            </w:r>
            <w:r>
              <w:rPr>
                <w:rFonts w:ascii="宋体" w:eastAsia="宋体" w:hAnsi="宋体" w:cs="宋体" w:hint="eastAsia"/>
                <w:color w:val="auto"/>
              </w:rPr>
              <w:t>分；</w:t>
            </w:r>
          </w:p>
          <w:p>
            <w:pPr>
              <w:spacing w:line="360" w:lineRule="exact"/>
              <w:rPr>
                <w:rFonts w:ascii="宋体" w:eastAsia="宋体" w:hAnsi="宋体" w:cs="宋体" w:hint="eastAsia"/>
                <w:color w:val="auto"/>
              </w:rPr>
            </w:pPr>
            <w:r>
              <w:rPr>
                <w:rFonts w:ascii="宋体" w:eastAsia="宋体" w:hAnsi="宋体" w:cs="宋体" w:hint="eastAsia"/>
                <w:color w:val="auto"/>
              </w:rPr>
              <w:t>4.</w:t>
            </w:r>
            <w:r>
              <w:rPr>
                <w:rFonts w:ascii="宋体" w:eastAsia="宋体" w:hAnsi="宋体" w:cs="宋体" w:hint="eastAsia"/>
                <w:color w:val="auto"/>
                <w:lang w:eastAsia="zh-CN"/>
              </w:rPr>
              <w:t>差</w:t>
            </w:r>
            <w:r>
              <w:rPr>
                <w:rFonts w:ascii="宋体" w:eastAsia="宋体" w:hAnsi="宋体" w:cs="宋体" w:hint="eastAsia"/>
                <w:color w:val="auto"/>
                <w:lang w:val="en-US" w:eastAsia="zh-CN"/>
              </w:rPr>
              <w:t>评分标准</w:t>
            </w:r>
            <w:r>
              <w:rPr>
                <w:rFonts w:ascii="宋体" w:eastAsia="宋体" w:hAnsi="宋体" w:cs="宋体" w:hint="eastAsia"/>
                <w:color w:val="auto"/>
                <w:lang w:eastAsia="zh-CN"/>
              </w:rPr>
              <w:t>：</w:t>
            </w:r>
            <w:r>
              <w:rPr>
                <w:rFonts w:ascii="宋体" w:eastAsia="宋体" w:hAnsi="宋体" w:cs="宋体" w:hint="eastAsia"/>
                <w:color w:val="auto"/>
                <w:lang w:val="en-US" w:eastAsia="zh-CN"/>
              </w:rPr>
              <w:t>驻点</w:t>
            </w:r>
            <w:r>
              <w:rPr>
                <w:rFonts w:ascii="宋体" w:eastAsia="宋体" w:hAnsi="宋体" w:cs="宋体" w:hint="eastAsia"/>
                <w:color w:val="auto"/>
              </w:rPr>
              <w:t>医务人员轮班制度</w:t>
            </w:r>
            <w:r>
              <w:rPr>
                <w:rFonts w:ascii="宋体" w:eastAsia="宋体" w:hAnsi="宋体" w:cs="宋体" w:hint="eastAsia"/>
                <w:color w:val="auto"/>
                <w:szCs w:val="21"/>
                <w:lang w:val="en-US" w:eastAsia="zh-CN"/>
              </w:rPr>
              <w:t>立不全面</w:t>
            </w:r>
            <w:r>
              <w:rPr>
                <w:rFonts w:ascii="宋体" w:eastAsia="宋体" w:hAnsi="宋体" w:cs="宋体" w:hint="eastAsia"/>
                <w:color w:val="auto"/>
              </w:rPr>
              <w:t>，</w:t>
            </w:r>
            <w:r>
              <w:rPr>
                <w:rFonts w:ascii="宋体" w:eastAsia="宋体" w:hAnsi="宋体" w:cs="宋体" w:hint="eastAsia"/>
                <w:color w:val="auto"/>
                <w:lang w:val="en-US" w:eastAsia="zh-CN"/>
              </w:rPr>
              <w:t>驻点医护人员稳定性保障方案可行性</w:t>
            </w:r>
            <w:r>
              <w:rPr>
                <w:rFonts w:ascii="宋体" w:eastAsia="宋体" w:hAnsi="宋体" w:cs="宋体" w:hint="eastAsia"/>
                <w:color w:val="auto"/>
                <w:szCs w:val="21"/>
                <w:lang w:val="en-US" w:eastAsia="zh-CN"/>
              </w:rPr>
              <w:t>差</w:t>
            </w:r>
            <w:r>
              <w:rPr>
                <w:rFonts w:ascii="宋体" w:eastAsia="宋体" w:hAnsi="宋体" w:cs="宋体" w:hint="eastAsia"/>
                <w:color w:val="auto"/>
                <w:lang w:val="en-US" w:eastAsia="zh-CN"/>
              </w:rPr>
              <w:t>，</w:t>
            </w:r>
            <w:r>
              <w:rPr>
                <w:rFonts w:ascii="宋体" w:eastAsia="宋体" w:hAnsi="宋体" w:cs="宋体" w:hint="eastAsia"/>
                <w:color w:val="auto"/>
              </w:rPr>
              <w:t>服务人员的培训</w:t>
            </w:r>
            <w:r>
              <w:rPr>
                <w:rFonts w:ascii="宋体" w:eastAsia="宋体" w:hAnsi="宋体" w:cs="宋体" w:hint="eastAsia"/>
                <w:color w:val="auto"/>
                <w:lang w:val="en-US" w:eastAsia="zh-CN"/>
              </w:rPr>
              <w:t>方案不合理</w:t>
            </w:r>
            <w:r>
              <w:rPr>
                <w:rFonts w:ascii="宋体" w:eastAsia="宋体" w:hAnsi="宋体" w:cs="宋体" w:hint="eastAsia"/>
                <w:color w:val="auto"/>
              </w:rPr>
              <w:t>，不加分。</w:t>
            </w:r>
          </w:p>
          <w:p>
            <w:pPr>
              <w:spacing w:line="360" w:lineRule="exact"/>
              <w:rPr>
                <w:rFonts w:ascii="宋体" w:eastAsia="宋体" w:hAnsi="宋体" w:cs="宋体" w:hint="eastAsia"/>
                <w:szCs w:val="21"/>
              </w:rPr>
            </w:pPr>
            <w:r>
              <w:rPr>
                <w:rFonts w:ascii="宋体" w:eastAsia="宋体" w:hAnsi="宋体" w:cs="宋体" w:hint="eastAsia"/>
                <w:color w:val="auto"/>
              </w:rPr>
              <w:t>如果评审为差,要求评委书面说明理由,并记录在档。</w:t>
            </w:r>
          </w:p>
        </w:tc>
      </w:tr>
      <w:tr>
        <w:tblPrEx>
          <w:tblW w:w="9639" w:type="dxa"/>
          <w:jc w:val="center"/>
          <w:tblLayout w:type="fixed"/>
          <w:tblCellMar>
            <w:top w:w="20" w:type="dxa"/>
            <w:left w:w="108" w:type="dxa"/>
            <w:bottom w:w="20" w:type="dxa"/>
            <w:right w:w="108" w:type="dxa"/>
          </w:tblCellMar>
        </w:tblPrEx>
        <w:trPr>
          <w:jc w:val="center"/>
        </w:trPr>
        <w:tc>
          <w:tcPr>
            <w:tcW w:w="657" w:type="dxa"/>
            <w:vMerge/>
            <w:tcBorders>
              <w:left w:val="single" w:sz="8" w:space="0" w:color="000000"/>
              <w:right w:val="single" w:sz="8" w:space="0" w:color="000000"/>
            </w:tcBorders>
            <w:noWrap w:val="0"/>
            <w:vAlign w:val="center"/>
          </w:tcPr>
          <w:p>
            <w:pPr>
              <w:spacing w:line="360" w:lineRule="exact"/>
              <w:rPr>
                <w:rFonts w:ascii="宋体" w:eastAsia="宋体" w:hAnsi="宋体" w:cs="宋体"/>
                <w:b/>
                <w:bCs/>
                <w:color w:val="0000FF"/>
                <w:sz w:val="24"/>
                <w:szCs w:val="24"/>
              </w:rPr>
            </w:pPr>
          </w:p>
        </w:tc>
        <w:tc>
          <w:tcPr>
            <w:tcW w:w="657" w:type="dxa"/>
            <w:tcBorders>
              <w:top w:val="single" w:sz="8" w:space="0" w:color="000000"/>
              <w:left w:val="single" w:sz="8" w:space="0" w:color="000000"/>
              <w:bottom w:val="single" w:sz="8" w:space="0" w:color="000000"/>
              <w:right w:val="single" w:sz="8" w:space="0" w:color="000000"/>
            </w:tcBorders>
            <w:noWrap w:val="0"/>
            <w:vAlign w:val="top"/>
          </w:tcPr>
          <w:p>
            <w:pPr>
              <w:spacing w:line="360" w:lineRule="exact"/>
              <w:jc w:val="center"/>
              <w:rPr>
                <w:rFonts w:ascii="宋体" w:eastAsia="宋体" w:hAnsi="宋体" w:cs="宋体" w:hint="eastAsia"/>
                <w:szCs w:val="21"/>
              </w:rPr>
            </w:pPr>
            <w:r>
              <w:rPr>
                <w:rFonts w:ascii="宋体" w:eastAsia="宋体" w:hAnsi="宋体" w:cs="宋体" w:hint="eastAsia"/>
                <w:szCs w:val="21"/>
              </w:rPr>
              <w:t>4</w:t>
            </w:r>
          </w:p>
        </w:tc>
        <w:tc>
          <w:tcPr>
            <w:tcW w:w="2616" w:type="dxa"/>
            <w:tcBorders>
              <w:top w:val="single" w:sz="8" w:space="0" w:color="000000"/>
              <w:left w:val="single" w:sz="8" w:space="0" w:color="000000"/>
              <w:bottom w:val="single" w:sz="8" w:space="0" w:color="000000"/>
              <w:right w:val="single" w:sz="8" w:space="0" w:color="000000"/>
            </w:tcBorders>
            <w:noWrap w:val="0"/>
            <w:vAlign w:val="top"/>
          </w:tcPr>
          <w:p>
            <w:pPr>
              <w:spacing w:line="360" w:lineRule="exact"/>
              <w:rPr>
                <w:rFonts w:ascii="宋体" w:eastAsia="宋体" w:hAnsi="宋体" w:cs="宋体" w:hint="eastAsia"/>
                <w:szCs w:val="21"/>
              </w:rPr>
            </w:pPr>
            <w:r>
              <w:rPr>
                <w:rFonts w:ascii="宋体" w:eastAsia="宋体" w:hAnsi="宋体" w:cs="宋体" w:hint="eastAsia"/>
                <w:szCs w:val="21"/>
              </w:rPr>
              <w:t>医疗档案管理及</w:t>
            </w:r>
            <w:r>
              <w:rPr>
                <w:rFonts w:ascii="宋体" w:eastAsia="宋体" w:hAnsi="宋体" w:cs="宋体" w:hint="eastAsia"/>
                <w:szCs w:val="21"/>
                <w:lang w:val="en-US" w:eastAsia="zh-CN"/>
              </w:rPr>
              <w:t>所内医疗</w:t>
            </w:r>
            <w:r>
              <w:rPr>
                <w:rFonts w:ascii="宋体" w:eastAsia="宋体" w:hAnsi="宋体" w:cs="宋体" w:hint="eastAsia"/>
                <w:szCs w:val="21"/>
              </w:rPr>
              <w:t>服务方案</w:t>
            </w:r>
          </w:p>
        </w:tc>
        <w:tc>
          <w:tcPr>
            <w:tcW w:w="918" w:type="dxa"/>
            <w:tcBorders>
              <w:top w:val="single" w:sz="8" w:space="0" w:color="000000"/>
              <w:left w:val="single" w:sz="8" w:space="0" w:color="000000"/>
              <w:bottom w:val="single" w:sz="8" w:space="0" w:color="000000"/>
              <w:right w:val="single" w:sz="8" w:space="0" w:color="000000"/>
            </w:tcBorders>
            <w:noWrap w:val="0"/>
            <w:vAlign w:val="top"/>
          </w:tcPr>
          <w:p>
            <w:pPr>
              <w:spacing w:line="360" w:lineRule="exact"/>
              <w:jc w:val="center"/>
              <w:rPr>
                <w:rFonts w:ascii="宋体" w:eastAsia="宋体" w:hAnsi="宋体" w:cs="宋体" w:hint="eastAsia"/>
                <w:szCs w:val="21"/>
              </w:rPr>
            </w:pPr>
            <w:r>
              <w:rPr>
                <w:rFonts w:ascii="宋体" w:eastAsia="宋体" w:hAnsi="宋体" w:cs="宋体" w:hint="eastAsia"/>
                <w:szCs w:val="21"/>
              </w:rPr>
              <w:t>6</w:t>
            </w:r>
          </w:p>
        </w:tc>
        <w:tc>
          <w:tcPr>
            <w:tcW w:w="4791" w:type="dxa"/>
            <w:tcBorders>
              <w:top w:val="single" w:sz="8" w:space="0" w:color="000000"/>
              <w:left w:val="single" w:sz="8" w:space="0" w:color="000000"/>
              <w:bottom w:val="single" w:sz="8" w:space="0" w:color="000000"/>
              <w:right w:val="single" w:sz="8" w:space="0" w:color="000000"/>
            </w:tcBorders>
            <w:noWrap w:val="0"/>
            <w:vAlign w:val="top"/>
          </w:tcPr>
          <w:p>
            <w:pPr>
              <w:spacing w:line="360" w:lineRule="exact"/>
              <w:rPr>
                <w:rFonts w:ascii="宋体" w:eastAsia="宋体" w:hAnsi="宋体" w:cs="宋体" w:hint="eastAsia"/>
                <w:szCs w:val="21"/>
              </w:rPr>
            </w:pPr>
            <w:r>
              <w:rPr>
                <w:rFonts w:ascii="宋体" w:eastAsia="宋体" w:hAnsi="宋体" w:cs="宋体" w:hint="eastAsia"/>
                <w:szCs w:val="21"/>
              </w:rPr>
              <w:t>（一）评分内容：</w:t>
            </w:r>
          </w:p>
          <w:p>
            <w:pPr>
              <w:autoSpaceDE w:val="0"/>
              <w:autoSpaceDN w:val="0"/>
              <w:adjustRightInd w:val="0"/>
              <w:spacing w:line="360" w:lineRule="exact"/>
              <w:rPr>
                <w:rFonts w:ascii="宋体" w:eastAsia="宋体" w:hAnsi="宋体" w:cs="宋体" w:hint="eastAsia"/>
                <w:color w:val="FF0000"/>
                <w:kern w:val="0"/>
                <w:szCs w:val="21"/>
              </w:rPr>
            </w:pPr>
            <w:r>
              <w:rPr>
                <w:rFonts w:ascii="宋体" w:eastAsia="宋体" w:hAnsi="宋体" w:cs="宋体" w:hint="eastAsia"/>
                <w:szCs w:val="21"/>
                <w:lang w:val="en-US" w:eastAsia="zh-CN"/>
              </w:rPr>
              <w:t>考察投标人针对本项目提供的医疗</w:t>
            </w:r>
            <w:r>
              <w:rPr>
                <w:rFonts w:ascii="宋体" w:eastAsia="宋体" w:hAnsi="宋体" w:cs="宋体" w:hint="eastAsia"/>
                <w:szCs w:val="21"/>
              </w:rPr>
              <w:t>档案管理及</w:t>
            </w:r>
            <w:r>
              <w:rPr>
                <w:rFonts w:ascii="宋体" w:eastAsia="宋体" w:hAnsi="宋体" w:cs="宋体" w:hint="eastAsia"/>
                <w:szCs w:val="21"/>
                <w:lang w:val="en-US" w:eastAsia="zh-CN"/>
              </w:rPr>
              <w:t>日常入所健康检查、日常巡诊、医疗卫生管理</w:t>
            </w:r>
            <w:r>
              <w:rPr>
                <w:rFonts w:ascii="宋体" w:eastAsia="宋体" w:hAnsi="宋体" w:cs="宋体" w:hint="eastAsia"/>
                <w:szCs w:val="21"/>
              </w:rPr>
              <w:t>服务方案</w:t>
            </w:r>
            <w:r>
              <w:rPr>
                <w:rFonts w:ascii="宋体" w:eastAsia="宋体" w:hAnsi="宋体" w:cs="宋体" w:hint="eastAsia"/>
                <w:color w:val="FF0000"/>
                <w:kern w:val="0"/>
                <w:szCs w:val="21"/>
              </w:rPr>
              <w:t>：</w:t>
            </w:r>
          </w:p>
          <w:p>
            <w:pPr>
              <w:autoSpaceDE w:val="0"/>
              <w:autoSpaceDN w:val="0"/>
              <w:adjustRightInd w:val="0"/>
              <w:spacing w:line="360" w:lineRule="exact"/>
              <w:rPr>
                <w:rFonts w:ascii="宋体" w:eastAsia="宋体" w:hAnsi="宋体" w:cs="宋体" w:hint="eastAsia"/>
                <w:szCs w:val="21"/>
                <w:lang w:val="en-US" w:eastAsia="zh-CN"/>
              </w:rPr>
            </w:pPr>
            <w:r>
              <w:rPr>
                <w:rFonts w:ascii="宋体" w:eastAsia="宋体" w:hAnsi="宋体" w:cs="宋体" w:hint="eastAsia"/>
                <w:szCs w:val="21"/>
                <w:lang w:val="en-US" w:eastAsia="zh-CN"/>
              </w:rPr>
              <w:t>1、医疗档案建立与信息化管理；</w:t>
            </w:r>
          </w:p>
          <w:p>
            <w:pPr>
              <w:autoSpaceDE w:val="0"/>
              <w:autoSpaceDN w:val="0"/>
              <w:adjustRightInd w:val="0"/>
              <w:spacing w:line="360" w:lineRule="exact"/>
              <w:rPr>
                <w:rFonts w:ascii="宋体" w:eastAsia="宋体" w:hAnsi="宋体" w:cs="宋体" w:hint="eastAsia"/>
                <w:szCs w:val="21"/>
                <w:lang w:val="en-US" w:eastAsia="zh-CN"/>
              </w:rPr>
            </w:pPr>
            <w:r>
              <w:rPr>
                <w:rFonts w:ascii="宋体" w:eastAsia="宋体" w:hAnsi="宋体" w:cs="宋体" w:hint="eastAsia"/>
                <w:szCs w:val="21"/>
                <w:lang w:val="en-US" w:eastAsia="zh-CN"/>
              </w:rPr>
              <w:t>2、入所健康检查工作流程及管理；</w:t>
            </w:r>
          </w:p>
          <w:p>
            <w:pPr>
              <w:autoSpaceDE w:val="0"/>
              <w:autoSpaceDN w:val="0"/>
              <w:adjustRightInd w:val="0"/>
              <w:spacing w:line="360" w:lineRule="exact"/>
              <w:rPr>
                <w:rFonts w:ascii="宋体" w:eastAsia="宋体" w:hAnsi="宋体" w:cs="宋体" w:hint="eastAsia"/>
                <w:szCs w:val="21"/>
                <w:lang w:val="en-US" w:eastAsia="zh-CN"/>
              </w:rPr>
            </w:pPr>
            <w:r>
              <w:rPr>
                <w:rFonts w:ascii="宋体" w:eastAsia="宋体" w:hAnsi="宋体" w:cs="宋体" w:hint="eastAsia"/>
                <w:szCs w:val="21"/>
                <w:lang w:val="en-US" w:eastAsia="zh-CN"/>
              </w:rPr>
              <w:t>3、日常巡诊与医疗卫生管理。</w:t>
            </w:r>
          </w:p>
          <w:p>
            <w:pPr>
              <w:spacing w:line="360" w:lineRule="exact"/>
              <w:rPr>
                <w:rFonts w:ascii="宋体" w:eastAsia="宋体" w:hAnsi="宋体" w:cs="宋体" w:hint="eastAsia"/>
                <w:szCs w:val="21"/>
              </w:rPr>
            </w:pPr>
            <w:r>
              <w:rPr>
                <w:rFonts w:ascii="宋体" w:eastAsia="宋体" w:hAnsi="宋体" w:cs="宋体" w:hint="eastAsia"/>
                <w:szCs w:val="21"/>
              </w:rPr>
              <w:t>（二）评分依据：</w:t>
            </w:r>
          </w:p>
          <w:p>
            <w:pPr>
              <w:spacing w:line="360" w:lineRule="exact"/>
              <w:rPr>
                <w:rFonts w:ascii="宋体" w:eastAsia="宋体" w:hAnsi="宋体" w:cs="宋体" w:hint="eastAsia"/>
              </w:rPr>
            </w:pPr>
            <w:r>
              <w:rPr>
                <w:rFonts w:ascii="宋体" w:eastAsia="宋体" w:hAnsi="宋体" w:cs="宋体" w:hint="eastAsia"/>
              </w:rPr>
              <w:t>方案包含以上三项内容得</w:t>
            </w:r>
            <w:r>
              <w:rPr>
                <w:rFonts w:ascii="宋体" w:eastAsia="宋体" w:hAnsi="宋体" w:cs="宋体" w:hint="eastAsia"/>
                <w:lang w:val="en-US" w:eastAsia="zh-CN"/>
              </w:rPr>
              <w:t>6</w:t>
            </w:r>
            <w:r>
              <w:rPr>
                <w:rFonts w:ascii="宋体" w:eastAsia="宋体" w:hAnsi="宋体" w:cs="宋体" w:hint="eastAsia"/>
              </w:rPr>
              <w:t>0分；包含以上二项内容得</w:t>
            </w:r>
            <w:r>
              <w:rPr>
                <w:rFonts w:ascii="宋体" w:eastAsia="宋体" w:hAnsi="宋体" w:cs="宋体" w:hint="eastAsia"/>
                <w:lang w:val="en-US" w:eastAsia="zh-CN"/>
              </w:rPr>
              <w:t>4</w:t>
            </w:r>
            <w:r>
              <w:rPr>
                <w:rFonts w:ascii="宋体" w:eastAsia="宋体" w:hAnsi="宋体" w:cs="宋体" w:hint="eastAsia"/>
              </w:rPr>
              <w:t>0分；包含以上一项内容得</w:t>
            </w:r>
            <w:r>
              <w:rPr>
                <w:rFonts w:ascii="宋体" w:eastAsia="宋体" w:hAnsi="宋体" w:cs="宋体" w:hint="eastAsia"/>
                <w:lang w:val="en-US" w:eastAsia="zh-CN"/>
              </w:rPr>
              <w:t>2</w:t>
            </w:r>
            <w:r>
              <w:rPr>
                <w:rFonts w:ascii="宋体" w:eastAsia="宋体" w:hAnsi="宋体" w:cs="宋体" w:hint="eastAsia"/>
              </w:rPr>
              <w:t>0分；其他情况不得分。</w:t>
            </w:r>
          </w:p>
          <w:p>
            <w:pPr>
              <w:spacing w:line="360" w:lineRule="exact"/>
              <w:rPr>
                <w:rFonts w:ascii="宋体" w:eastAsia="宋体" w:hAnsi="宋体" w:cs="宋体" w:hint="eastAsia"/>
              </w:rPr>
            </w:pPr>
            <w:r>
              <w:rPr>
                <w:rFonts w:ascii="宋体" w:eastAsia="宋体" w:hAnsi="宋体" w:cs="宋体" w:hint="eastAsia"/>
              </w:rPr>
              <w:t>在此基础上，根据方案响应情况进一步评审：</w:t>
            </w:r>
          </w:p>
          <w:p>
            <w:pPr>
              <w:spacing w:line="360" w:lineRule="exact"/>
              <w:rPr>
                <w:rFonts w:ascii="宋体" w:eastAsia="宋体" w:hAnsi="宋体" w:cs="宋体" w:hint="eastAsia"/>
              </w:rPr>
            </w:pPr>
            <w:r>
              <w:rPr>
                <w:rFonts w:ascii="宋体" w:eastAsia="宋体" w:hAnsi="宋体" w:cs="宋体" w:hint="eastAsia"/>
              </w:rPr>
              <w:t>1.</w:t>
            </w:r>
            <w:r>
              <w:rPr>
                <w:rFonts w:ascii="宋体" w:eastAsia="宋体" w:hAnsi="宋体" w:cs="宋体" w:hint="eastAsia"/>
                <w:lang w:val="en-US" w:eastAsia="zh-CN"/>
              </w:rPr>
              <w:t>优评分标准</w:t>
            </w:r>
            <w:r>
              <w:rPr>
                <w:rFonts w:ascii="宋体" w:eastAsia="宋体" w:hAnsi="宋体" w:cs="宋体" w:hint="eastAsia"/>
                <w:lang w:eastAsia="zh-CN"/>
              </w:rPr>
              <w:t>：</w:t>
            </w:r>
            <w:r>
              <w:rPr>
                <w:rFonts w:ascii="宋体" w:eastAsia="宋体" w:hAnsi="宋体" w:cs="宋体" w:hint="eastAsia"/>
              </w:rPr>
              <w:t>医疗档案建立</w:t>
            </w:r>
            <w:r>
              <w:rPr>
                <w:rFonts w:ascii="宋体" w:eastAsia="宋体" w:hAnsi="宋体" w:cs="宋体" w:hint="eastAsia"/>
                <w:lang w:val="en-US" w:eastAsia="zh-CN"/>
              </w:rPr>
              <w:t>与信息化管理</w:t>
            </w:r>
            <w:r>
              <w:rPr>
                <w:rFonts w:ascii="宋体" w:eastAsia="宋体" w:hAnsi="宋体" w:cs="宋体" w:hint="eastAsia"/>
              </w:rPr>
              <w:t>全面、具体，入所健康检查工作</w:t>
            </w:r>
            <w:r>
              <w:rPr>
                <w:rFonts w:ascii="宋体" w:eastAsia="宋体" w:hAnsi="宋体" w:cs="宋体" w:hint="eastAsia"/>
                <w:lang w:val="en-US" w:eastAsia="zh-CN"/>
              </w:rPr>
              <w:t>流程可行性高，日常就诊与医疗卫生管理</w:t>
            </w:r>
            <w:r>
              <w:rPr>
                <w:rFonts w:ascii="宋体" w:eastAsia="宋体" w:hAnsi="宋体" w:cs="宋体" w:hint="eastAsia"/>
              </w:rPr>
              <w:t>方案</w:t>
            </w:r>
            <w:r>
              <w:rPr>
                <w:rFonts w:ascii="宋体" w:eastAsia="宋体" w:hAnsi="宋体" w:cs="宋体" w:hint="eastAsia"/>
                <w:lang w:val="en-US" w:eastAsia="zh-CN"/>
              </w:rPr>
              <w:t>科学合理性高，</w:t>
            </w:r>
            <w:r>
              <w:rPr>
                <w:rFonts w:ascii="宋体" w:eastAsia="宋体" w:hAnsi="宋体" w:cs="宋体" w:hint="eastAsia"/>
              </w:rPr>
              <w:t>加</w:t>
            </w:r>
            <w:r>
              <w:rPr>
                <w:rFonts w:ascii="宋体" w:eastAsia="宋体" w:hAnsi="宋体" w:cs="宋体" w:hint="eastAsia"/>
                <w:lang w:val="en-US" w:eastAsia="zh-CN"/>
              </w:rPr>
              <w:t>4</w:t>
            </w:r>
            <w:r>
              <w:rPr>
                <w:rFonts w:ascii="宋体" w:eastAsia="宋体" w:hAnsi="宋体" w:cs="宋体" w:hint="eastAsia"/>
              </w:rPr>
              <w:t>0分；</w:t>
            </w:r>
          </w:p>
          <w:p>
            <w:pPr>
              <w:spacing w:line="360" w:lineRule="exact"/>
              <w:rPr>
                <w:rFonts w:ascii="宋体" w:eastAsia="宋体" w:hAnsi="宋体" w:cs="宋体" w:hint="eastAsia"/>
              </w:rPr>
            </w:pPr>
            <w:r>
              <w:rPr>
                <w:rFonts w:ascii="宋体" w:eastAsia="宋体" w:hAnsi="宋体" w:cs="宋体" w:hint="eastAsia"/>
              </w:rPr>
              <w:t>2.良</w:t>
            </w:r>
            <w:r>
              <w:rPr>
                <w:rFonts w:ascii="宋体" w:eastAsia="宋体" w:hAnsi="宋体" w:cs="宋体" w:hint="eastAsia"/>
                <w:lang w:val="en-US" w:eastAsia="zh-CN"/>
              </w:rPr>
              <w:t>评分标准：</w:t>
            </w:r>
            <w:r>
              <w:rPr>
                <w:rFonts w:ascii="宋体" w:eastAsia="宋体" w:hAnsi="宋体" w:cs="宋体" w:hint="eastAsia"/>
              </w:rPr>
              <w:t>医疗档案建立</w:t>
            </w:r>
            <w:r>
              <w:rPr>
                <w:rFonts w:ascii="宋体" w:eastAsia="宋体" w:hAnsi="宋体" w:cs="宋体" w:hint="eastAsia"/>
                <w:lang w:val="en-US" w:eastAsia="zh-CN"/>
              </w:rPr>
              <w:t>与信息化管理比较</w:t>
            </w:r>
            <w:r>
              <w:rPr>
                <w:rFonts w:ascii="宋体" w:eastAsia="宋体" w:hAnsi="宋体" w:cs="宋体" w:hint="eastAsia"/>
              </w:rPr>
              <w:t>全面、具体，入所健康检查工作</w:t>
            </w:r>
            <w:r>
              <w:rPr>
                <w:rFonts w:ascii="宋体" w:eastAsia="宋体" w:hAnsi="宋体" w:cs="宋体" w:hint="eastAsia"/>
                <w:lang w:val="en-US" w:eastAsia="zh-CN"/>
              </w:rPr>
              <w:t>流程可行性较高，日常就诊与医疗卫生管理合理性较高，</w:t>
            </w:r>
            <w:r>
              <w:rPr>
                <w:rFonts w:ascii="宋体" w:eastAsia="宋体" w:hAnsi="宋体" w:cs="宋体" w:hint="eastAsia"/>
              </w:rPr>
              <w:t>加</w:t>
            </w:r>
            <w:r>
              <w:rPr>
                <w:rFonts w:ascii="宋体" w:eastAsia="宋体" w:hAnsi="宋体" w:cs="宋体" w:hint="eastAsia"/>
                <w:lang w:val="en-US" w:eastAsia="zh-CN"/>
              </w:rPr>
              <w:t>25</w:t>
            </w:r>
            <w:r>
              <w:rPr>
                <w:rFonts w:ascii="宋体" w:eastAsia="宋体" w:hAnsi="宋体" w:cs="宋体" w:hint="eastAsia"/>
              </w:rPr>
              <w:t>分；</w:t>
            </w:r>
          </w:p>
          <w:p>
            <w:pPr>
              <w:spacing w:line="360" w:lineRule="exact"/>
              <w:rPr>
                <w:rFonts w:ascii="宋体" w:eastAsia="宋体" w:hAnsi="宋体" w:cs="宋体" w:hint="eastAsia"/>
              </w:rPr>
            </w:pPr>
            <w:r>
              <w:rPr>
                <w:rFonts w:ascii="宋体" w:eastAsia="宋体" w:hAnsi="宋体" w:cs="宋体" w:hint="eastAsia"/>
              </w:rPr>
              <w:t>3.</w:t>
            </w:r>
            <w:r>
              <w:rPr>
                <w:rFonts w:ascii="宋体" w:eastAsia="宋体" w:hAnsi="宋体" w:cs="宋体" w:hint="eastAsia"/>
                <w:lang w:eastAsia="zh-CN"/>
              </w:rPr>
              <w:t>中</w:t>
            </w:r>
            <w:r>
              <w:rPr>
                <w:rFonts w:ascii="宋体" w:eastAsia="宋体" w:hAnsi="宋体" w:cs="宋体" w:hint="eastAsia"/>
                <w:lang w:val="en-US" w:eastAsia="zh-CN"/>
              </w:rPr>
              <w:t>评分标准</w:t>
            </w:r>
            <w:r>
              <w:rPr>
                <w:rFonts w:ascii="宋体" w:eastAsia="宋体" w:hAnsi="宋体" w:cs="宋体" w:hint="eastAsia"/>
                <w:lang w:eastAsia="zh-CN"/>
              </w:rPr>
              <w:t>：</w:t>
            </w:r>
            <w:r>
              <w:rPr>
                <w:rFonts w:ascii="宋体" w:eastAsia="宋体" w:hAnsi="宋体" w:cs="宋体" w:hint="eastAsia"/>
              </w:rPr>
              <w:t>医疗档案建立</w:t>
            </w:r>
            <w:r>
              <w:rPr>
                <w:rFonts w:ascii="宋体" w:eastAsia="宋体" w:hAnsi="宋体" w:cs="宋体" w:hint="eastAsia"/>
                <w:lang w:val="en-US" w:eastAsia="zh-CN"/>
              </w:rPr>
              <w:t>与信息化管理</w:t>
            </w:r>
            <w:r>
              <w:rPr>
                <w:rFonts w:ascii="宋体" w:eastAsia="宋体" w:hAnsi="宋体" w:cs="宋体" w:hint="eastAsia"/>
                <w:szCs w:val="21"/>
                <w:lang w:val="en-US" w:eastAsia="zh-CN"/>
              </w:rPr>
              <w:t>不够全面</w:t>
            </w:r>
            <w:r>
              <w:rPr>
                <w:rFonts w:ascii="宋体" w:eastAsia="宋体" w:hAnsi="宋体" w:cs="宋体" w:hint="eastAsia"/>
              </w:rPr>
              <w:t>，入所健康检查工作</w:t>
            </w:r>
            <w:r>
              <w:rPr>
                <w:rFonts w:ascii="宋体" w:eastAsia="宋体" w:hAnsi="宋体" w:cs="宋体" w:hint="eastAsia"/>
                <w:lang w:val="en-US" w:eastAsia="zh-CN"/>
              </w:rPr>
              <w:t>流程可行性</w:t>
            </w:r>
            <w:r>
              <w:rPr>
                <w:rFonts w:ascii="宋体" w:eastAsia="宋体" w:hAnsi="宋体" w:cs="宋体" w:hint="eastAsia"/>
                <w:szCs w:val="21"/>
                <w:lang w:val="en-US" w:eastAsia="zh-CN"/>
              </w:rPr>
              <w:t>一般</w:t>
            </w:r>
            <w:r>
              <w:rPr>
                <w:rFonts w:ascii="宋体" w:eastAsia="宋体" w:hAnsi="宋体" w:cs="宋体" w:hint="eastAsia"/>
                <w:lang w:val="en-US" w:eastAsia="zh-CN"/>
              </w:rPr>
              <w:t>，日常就诊与医疗卫生管理不够合理，</w:t>
            </w:r>
            <w:r>
              <w:rPr>
                <w:rFonts w:ascii="宋体" w:eastAsia="宋体" w:hAnsi="宋体" w:cs="宋体" w:hint="eastAsia"/>
              </w:rPr>
              <w:t>加</w:t>
            </w:r>
            <w:r>
              <w:rPr>
                <w:rFonts w:ascii="宋体" w:eastAsia="宋体" w:hAnsi="宋体" w:cs="宋体" w:hint="eastAsia"/>
                <w:lang w:val="en-US" w:eastAsia="zh-CN"/>
              </w:rPr>
              <w:t>10</w:t>
            </w:r>
            <w:r>
              <w:rPr>
                <w:rFonts w:ascii="宋体" w:eastAsia="宋体" w:hAnsi="宋体" w:cs="宋体" w:hint="eastAsia"/>
              </w:rPr>
              <w:t>分；</w:t>
            </w:r>
          </w:p>
          <w:p>
            <w:pPr>
              <w:spacing w:line="360" w:lineRule="exact"/>
              <w:rPr>
                <w:rFonts w:ascii="宋体" w:eastAsia="宋体" w:hAnsi="宋体" w:cs="宋体" w:hint="eastAsia"/>
              </w:rPr>
            </w:pPr>
            <w:r>
              <w:rPr>
                <w:rFonts w:ascii="宋体" w:eastAsia="宋体" w:hAnsi="宋体" w:cs="宋体" w:hint="eastAsia"/>
              </w:rPr>
              <w:t>4.</w:t>
            </w:r>
            <w:r>
              <w:rPr>
                <w:rFonts w:ascii="宋体" w:eastAsia="宋体" w:hAnsi="宋体" w:cs="宋体" w:hint="eastAsia"/>
                <w:lang w:eastAsia="zh-CN"/>
              </w:rPr>
              <w:t>差</w:t>
            </w:r>
            <w:r>
              <w:rPr>
                <w:rFonts w:ascii="宋体" w:eastAsia="宋体" w:hAnsi="宋体" w:cs="宋体" w:hint="eastAsia"/>
                <w:lang w:val="en-US" w:eastAsia="zh-CN"/>
              </w:rPr>
              <w:t>评分标准</w:t>
            </w:r>
            <w:r>
              <w:rPr>
                <w:rFonts w:ascii="宋体" w:eastAsia="宋体" w:hAnsi="宋体" w:cs="宋体" w:hint="eastAsia"/>
                <w:lang w:eastAsia="zh-CN"/>
              </w:rPr>
              <w:t>：</w:t>
            </w:r>
            <w:r>
              <w:rPr>
                <w:rFonts w:ascii="宋体" w:eastAsia="宋体" w:hAnsi="宋体" w:cs="宋体" w:hint="eastAsia"/>
              </w:rPr>
              <w:t>医疗档案建立</w:t>
            </w:r>
            <w:r>
              <w:rPr>
                <w:rFonts w:ascii="宋体" w:eastAsia="宋体" w:hAnsi="宋体" w:cs="宋体" w:hint="eastAsia"/>
                <w:lang w:val="en-US" w:eastAsia="zh-CN"/>
              </w:rPr>
              <w:t>与信息化</w:t>
            </w:r>
            <w:r>
              <w:rPr>
                <w:rFonts w:ascii="宋体" w:eastAsia="宋体" w:hAnsi="宋体" w:cs="宋体" w:hint="eastAsia"/>
                <w:szCs w:val="21"/>
                <w:lang w:val="en-US" w:eastAsia="zh-CN"/>
              </w:rPr>
              <w:t>不全面</w:t>
            </w:r>
            <w:r>
              <w:rPr>
                <w:rFonts w:ascii="宋体" w:eastAsia="宋体" w:hAnsi="宋体" w:cs="宋体" w:hint="eastAsia"/>
              </w:rPr>
              <w:t>，入所健康检查工作</w:t>
            </w:r>
            <w:r>
              <w:rPr>
                <w:rFonts w:ascii="宋体" w:eastAsia="宋体" w:hAnsi="宋体" w:cs="宋体" w:hint="eastAsia"/>
                <w:lang w:val="en-US" w:eastAsia="zh-CN"/>
              </w:rPr>
              <w:t>流程可行性</w:t>
            </w:r>
            <w:r>
              <w:rPr>
                <w:rFonts w:ascii="宋体" w:eastAsia="宋体" w:hAnsi="宋体" w:cs="宋体" w:hint="eastAsia"/>
                <w:szCs w:val="21"/>
                <w:lang w:val="en-US" w:eastAsia="zh-CN"/>
              </w:rPr>
              <w:t>差</w:t>
            </w:r>
            <w:r>
              <w:rPr>
                <w:rFonts w:ascii="宋体" w:eastAsia="宋体" w:hAnsi="宋体" w:cs="宋体" w:hint="eastAsia"/>
                <w:lang w:val="en-US" w:eastAsia="zh-CN"/>
              </w:rPr>
              <w:t>，日常就诊与医疗卫生管理不合理</w:t>
            </w:r>
            <w:r>
              <w:rPr>
                <w:rFonts w:ascii="宋体" w:eastAsia="宋体" w:hAnsi="宋体" w:cs="宋体" w:hint="eastAsia"/>
              </w:rPr>
              <w:t>，不加分。</w:t>
            </w:r>
          </w:p>
          <w:p>
            <w:pPr>
              <w:spacing w:line="360" w:lineRule="exact"/>
              <w:rPr>
                <w:rFonts w:ascii="宋体" w:eastAsia="宋体" w:hAnsi="宋体" w:cs="宋体" w:hint="eastAsia"/>
                <w:szCs w:val="21"/>
              </w:rPr>
            </w:pPr>
            <w:r>
              <w:rPr>
                <w:rFonts w:ascii="宋体" w:eastAsia="宋体" w:hAnsi="宋体" w:cs="宋体" w:hint="eastAsia"/>
              </w:rPr>
              <w:t>如果评审为差,要求评委书面说明理由,并记录在档。</w:t>
            </w:r>
          </w:p>
        </w:tc>
      </w:tr>
      <w:tr>
        <w:tblPrEx>
          <w:tblW w:w="9639" w:type="dxa"/>
          <w:jc w:val="center"/>
          <w:tblLayout w:type="fixed"/>
          <w:tblCellMar>
            <w:top w:w="20" w:type="dxa"/>
            <w:left w:w="108" w:type="dxa"/>
            <w:bottom w:w="20" w:type="dxa"/>
            <w:right w:w="108" w:type="dxa"/>
          </w:tblCellMar>
        </w:tblPrEx>
        <w:trPr>
          <w:jc w:val="center"/>
        </w:trPr>
        <w:tc>
          <w:tcPr>
            <w:tcW w:w="657" w:type="dxa"/>
            <w:vMerge/>
            <w:tcBorders>
              <w:left w:val="single" w:sz="8" w:space="0" w:color="000000"/>
              <w:bottom w:val="single" w:sz="8" w:space="0" w:color="000000"/>
              <w:right w:val="single" w:sz="8" w:space="0" w:color="000000"/>
            </w:tcBorders>
            <w:noWrap w:val="0"/>
            <w:vAlign w:val="center"/>
          </w:tcPr>
          <w:p>
            <w:pPr>
              <w:spacing w:line="360" w:lineRule="exact"/>
              <w:rPr>
                <w:rFonts w:ascii="宋体" w:eastAsia="宋体" w:hAnsi="宋体" w:cs="宋体"/>
                <w:b/>
                <w:bCs/>
                <w:color w:val="0000FF"/>
                <w:sz w:val="24"/>
                <w:szCs w:val="24"/>
              </w:rPr>
            </w:pPr>
          </w:p>
        </w:tc>
        <w:tc>
          <w:tcPr>
            <w:tcW w:w="657" w:type="dxa"/>
            <w:tcBorders>
              <w:top w:val="single" w:sz="8" w:space="0" w:color="000000"/>
              <w:left w:val="single" w:sz="8" w:space="0" w:color="000000"/>
              <w:bottom w:val="single" w:sz="8" w:space="0" w:color="000000"/>
              <w:right w:val="single" w:sz="8" w:space="0" w:color="000000"/>
            </w:tcBorders>
            <w:noWrap w:val="0"/>
            <w:vAlign w:val="top"/>
          </w:tcPr>
          <w:p>
            <w:pPr>
              <w:spacing w:line="360" w:lineRule="exact"/>
              <w:jc w:val="center"/>
              <w:rPr>
                <w:rFonts w:ascii="宋体" w:eastAsia="宋体" w:hAnsi="宋体" w:cs="宋体" w:hint="eastAsia"/>
                <w:szCs w:val="21"/>
              </w:rPr>
            </w:pPr>
            <w:r>
              <w:rPr>
                <w:rFonts w:ascii="宋体" w:eastAsia="宋体" w:hAnsi="宋体" w:cs="宋体" w:hint="eastAsia"/>
                <w:szCs w:val="21"/>
              </w:rPr>
              <w:t>5</w:t>
            </w:r>
          </w:p>
        </w:tc>
        <w:tc>
          <w:tcPr>
            <w:tcW w:w="2616" w:type="dxa"/>
            <w:tcBorders>
              <w:top w:val="single" w:sz="8" w:space="0" w:color="000000"/>
              <w:left w:val="single" w:sz="8" w:space="0" w:color="000000"/>
              <w:bottom w:val="single" w:sz="8" w:space="0" w:color="000000"/>
              <w:right w:val="single" w:sz="8" w:space="0" w:color="000000"/>
            </w:tcBorders>
            <w:noWrap w:val="0"/>
            <w:vAlign w:val="top"/>
          </w:tcPr>
          <w:p>
            <w:pPr>
              <w:spacing w:line="360" w:lineRule="exact"/>
              <w:rPr>
                <w:rFonts w:ascii="宋体" w:eastAsia="宋体" w:hAnsi="宋体" w:cs="宋体" w:hint="eastAsia"/>
                <w:szCs w:val="21"/>
              </w:rPr>
            </w:pPr>
            <w:r>
              <w:rPr>
                <w:rFonts w:ascii="宋体" w:eastAsia="宋体" w:hAnsi="宋体" w:cs="宋体" w:hint="eastAsia"/>
                <w:szCs w:val="21"/>
              </w:rPr>
              <w:t>突发应急事项应急预案</w:t>
            </w:r>
          </w:p>
        </w:tc>
        <w:tc>
          <w:tcPr>
            <w:tcW w:w="918" w:type="dxa"/>
            <w:tcBorders>
              <w:top w:val="single" w:sz="8" w:space="0" w:color="000000"/>
              <w:left w:val="single" w:sz="8" w:space="0" w:color="000000"/>
              <w:bottom w:val="single" w:sz="8" w:space="0" w:color="000000"/>
              <w:right w:val="single" w:sz="8" w:space="0" w:color="000000"/>
            </w:tcBorders>
            <w:noWrap w:val="0"/>
            <w:vAlign w:val="top"/>
          </w:tcPr>
          <w:p>
            <w:pPr>
              <w:spacing w:line="360" w:lineRule="exact"/>
              <w:jc w:val="center"/>
              <w:rPr>
                <w:rFonts w:ascii="宋体" w:eastAsia="宋体" w:hAnsi="宋体" w:cs="宋体" w:hint="eastAsia"/>
                <w:szCs w:val="21"/>
              </w:rPr>
            </w:pPr>
            <w:r>
              <w:rPr>
                <w:rFonts w:ascii="宋体" w:eastAsia="宋体" w:hAnsi="宋体" w:cs="宋体" w:hint="eastAsia"/>
                <w:szCs w:val="21"/>
              </w:rPr>
              <w:t>6</w:t>
            </w:r>
          </w:p>
        </w:tc>
        <w:tc>
          <w:tcPr>
            <w:tcW w:w="4791" w:type="dxa"/>
            <w:tcBorders>
              <w:top w:val="single" w:sz="8" w:space="0" w:color="000000"/>
              <w:left w:val="single" w:sz="8" w:space="0" w:color="000000"/>
              <w:bottom w:val="single" w:sz="8" w:space="0" w:color="000000"/>
              <w:right w:val="single" w:sz="8" w:space="0" w:color="000000"/>
            </w:tcBorders>
            <w:noWrap w:val="0"/>
            <w:vAlign w:val="top"/>
          </w:tcPr>
          <w:p>
            <w:pPr>
              <w:spacing w:line="360" w:lineRule="exact"/>
              <w:rPr>
                <w:rFonts w:ascii="宋体" w:eastAsia="宋体" w:hAnsi="宋体" w:cs="宋体" w:hint="eastAsia"/>
                <w:szCs w:val="21"/>
              </w:rPr>
            </w:pPr>
            <w:r>
              <w:rPr>
                <w:rFonts w:ascii="宋体" w:eastAsia="宋体" w:hAnsi="宋体" w:cs="宋体" w:hint="eastAsia"/>
                <w:szCs w:val="21"/>
              </w:rPr>
              <w:t>（一）评分内容：</w:t>
            </w:r>
          </w:p>
          <w:p>
            <w:pPr>
              <w:spacing w:line="360" w:lineRule="exact"/>
              <w:rPr>
                <w:rFonts w:ascii="宋体" w:eastAsia="宋体" w:hAnsi="宋体" w:cs="宋体" w:hint="eastAsia"/>
                <w:szCs w:val="21"/>
              </w:rPr>
            </w:pPr>
            <w:r>
              <w:rPr>
                <w:rFonts w:ascii="宋体" w:eastAsia="宋体" w:hAnsi="宋体" w:cs="宋体" w:hint="eastAsia"/>
                <w:szCs w:val="21"/>
              </w:rPr>
              <w:t>投标人根据采购人的实际情况以及采购文件的要求结合自身的医疗服务经验，提出可能突发的情况以及应急方案。</w:t>
            </w:r>
          </w:p>
          <w:p>
            <w:pPr>
              <w:spacing w:line="360" w:lineRule="exact"/>
              <w:rPr>
                <w:rFonts w:ascii="宋体" w:eastAsia="宋体" w:hAnsi="宋体" w:cs="宋体" w:hint="eastAsia"/>
                <w:szCs w:val="21"/>
              </w:rPr>
            </w:pPr>
            <w:r>
              <w:rPr>
                <w:rFonts w:ascii="宋体" w:eastAsia="宋体" w:hAnsi="宋体" w:cs="宋体" w:hint="eastAsia"/>
                <w:szCs w:val="21"/>
                <w:lang w:val="en-US" w:eastAsia="zh-CN"/>
              </w:rPr>
              <w:t>1、</w:t>
            </w:r>
            <w:r>
              <w:rPr>
                <w:rFonts w:ascii="宋体" w:eastAsia="宋体" w:hAnsi="宋体" w:cs="宋体" w:hint="eastAsia"/>
                <w:szCs w:val="21"/>
              </w:rPr>
              <w:t>对危重病症人员的抢救转运</w:t>
            </w:r>
            <w:r>
              <w:rPr>
                <w:rFonts w:ascii="宋体" w:eastAsia="宋体" w:hAnsi="宋体" w:cs="宋体" w:hint="eastAsia"/>
                <w:szCs w:val="21"/>
                <w:lang w:eastAsia="zh-CN"/>
              </w:rPr>
              <w:t>；</w:t>
            </w:r>
          </w:p>
          <w:p>
            <w:pPr>
              <w:spacing w:line="360" w:lineRule="exact"/>
              <w:rPr>
                <w:rFonts w:ascii="宋体" w:eastAsia="宋体" w:hAnsi="宋体" w:cs="宋体" w:hint="eastAsia"/>
                <w:szCs w:val="21"/>
                <w:lang w:val="en-US" w:eastAsia="zh-CN"/>
              </w:rPr>
            </w:pPr>
            <w:r>
              <w:rPr>
                <w:rFonts w:ascii="宋体" w:eastAsia="宋体" w:hAnsi="宋体" w:cs="宋体" w:hint="eastAsia"/>
                <w:szCs w:val="21"/>
                <w:lang w:val="en-US" w:eastAsia="zh-CN"/>
              </w:rPr>
              <w:t>2、对临床常见急诊的应急处置</w:t>
            </w:r>
            <w:r>
              <w:rPr>
                <w:rFonts w:ascii="宋体" w:eastAsia="宋体" w:hAnsi="宋体" w:cs="宋体" w:hint="eastAsia"/>
                <w:szCs w:val="21"/>
                <w:lang w:eastAsia="zh-CN"/>
              </w:rPr>
              <w:t>；</w:t>
            </w:r>
          </w:p>
          <w:p>
            <w:pPr>
              <w:spacing w:line="360" w:lineRule="exact"/>
              <w:rPr>
                <w:rFonts w:ascii="宋体" w:eastAsia="宋体" w:hAnsi="宋体" w:cs="宋体" w:hint="eastAsia"/>
                <w:szCs w:val="21"/>
                <w:lang w:val="en-US" w:eastAsia="zh-CN"/>
              </w:rPr>
            </w:pPr>
            <w:r>
              <w:rPr>
                <w:rFonts w:ascii="宋体" w:eastAsia="宋体" w:hAnsi="宋体" w:cs="宋体" w:hint="eastAsia"/>
                <w:szCs w:val="21"/>
                <w:lang w:val="en-US" w:eastAsia="zh-CN"/>
              </w:rPr>
              <w:t>3、</w:t>
            </w:r>
            <w:r>
              <w:rPr>
                <w:rFonts w:ascii="宋体" w:eastAsia="宋体" w:hAnsi="宋体" w:cs="宋体" w:hint="eastAsia"/>
                <w:szCs w:val="21"/>
              </w:rPr>
              <w:t>传染病防治应急事项处理及预防机制方案</w:t>
            </w:r>
            <w:r>
              <w:rPr>
                <w:rFonts w:ascii="宋体" w:eastAsia="宋体" w:hAnsi="宋体" w:cs="宋体" w:hint="eastAsia"/>
                <w:szCs w:val="21"/>
                <w:lang w:eastAsia="zh-CN"/>
              </w:rPr>
              <w:t>。</w:t>
            </w:r>
          </w:p>
          <w:p>
            <w:pPr>
              <w:spacing w:line="360" w:lineRule="exact"/>
              <w:rPr>
                <w:rFonts w:ascii="宋体" w:eastAsia="宋体" w:hAnsi="宋体" w:cs="宋体" w:hint="eastAsia"/>
                <w:szCs w:val="21"/>
              </w:rPr>
            </w:pPr>
            <w:r>
              <w:rPr>
                <w:rFonts w:ascii="宋体" w:eastAsia="宋体" w:hAnsi="宋体" w:cs="宋体" w:hint="eastAsia"/>
                <w:szCs w:val="21"/>
              </w:rPr>
              <w:t>（二）评分依据：</w:t>
            </w:r>
          </w:p>
          <w:p>
            <w:pPr>
              <w:spacing w:line="360" w:lineRule="exact"/>
              <w:rPr>
                <w:rFonts w:ascii="宋体" w:eastAsia="宋体" w:hAnsi="宋体" w:cs="宋体" w:hint="eastAsia"/>
                <w:szCs w:val="21"/>
              </w:rPr>
            </w:pPr>
            <w:r>
              <w:rPr>
                <w:rFonts w:ascii="宋体" w:eastAsia="宋体" w:hAnsi="宋体" w:cs="宋体" w:hint="eastAsia"/>
                <w:szCs w:val="21"/>
              </w:rPr>
              <w:t>应急预案每包含以上1项得</w:t>
            </w:r>
            <w:r>
              <w:rPr>
                <w:rFonts w:ascii="宋体" w:eastAsia="宋体" w:hAnsi="宋体" w:cs="宋体" w:hint="eastAsia"/>
                <w:szCs w:val="21"/>
                <w:lang w:val="en-US" w:eastAsia="zh-CN"/>
              </w:rPr>
              <w:t>20</w:t>
            </w:r>
            <w:r>
              <w:rPr>
                <w:rFonts w:ascii="宋体" w:eastAsia="宋体" w:hAnsi="宋体" w:cs="宋体" w:hint="eastAsia"/>
                <w:szCs w:val="21"/>
              </w:rPr>
              <w:t>分，</w:t>
            </w:r>
            <w:r>
              <w:rPr>
                <w:rFonts w:ascii="宋体" w:eastAsia="宋体" w:hAnsi="宋体" w:cs="宋体" w:hint="eastAsia"/>
                <w:szCs w:val="21"/>
                <w:lang w:val="en-US" w:eastAsia="zh-CN"/>
              </w:rPr>
              <w:t>全部满足</w:t>
            </w:r>
            <w:r>
              <w:rPr>
                <w:rFonts w:ascii="宋体" w:eastAsia="宋体" w:hAnsi="宋体" w:cs="宋体" w:hint="eastAsia"/>
                <w:szCs w:val="21"/>
              </w:rPr>
              <w:t>得</w:t>
            </w:r>
            <w:r>
              <w:rPr>
                <w:rFonts w:ascii="宋体" w:eastAsia="宋体" w:hAnsi="宋体" w:cs="宋体" w:hint="eastAsia"/>
                <w:szCs w:val="21"/>
                <w:lang w:val="en-US" w:eastAsia="zh-CN"/>
              </w:rPr>
              <w:t>60</w:t>
            </w:r>
            <w:r>
              <w:rPr>
                <w:rFonts w:ascii="宋体" w:eastAsia="宋体" w:hAnsi="宋体" w:cs="宋体" w:hint="eastAsia"/>
                <w:szCs w:val="21"/>
              </w:rPr>
              <w:t>分，未提供不得分。</w:t>
            </w:r>
          </w:p>
          <w:p>
            <w:pPr>
              <w:spacing w:line="360" w:lineRule="exact"/>
              <w:rPr>
                <w:rFonts w:ascii="宋体" w:eastAsia="宋体" w:hAnsi="宋体" w:cs="宋体" w:hint="eastAsia"/>
                <w:szCs w:val="21"/>
              </w:rPr>
            </w:pPr>
            <w:r>
              <w:rPr>
                <w:rFonts w:ascii="宋体" w:eastAsia="宋体" w:hAnsi="宋体" w:cs="宋体" w:hint="eastAsia"/>
                <w:szCs w:val="21"/>
              </w:rPr>
              <w:t>在此基础上，评审专家根据各投标人提供的方案进行综合评价：</w:t>
            </w:r>
          </w:p>
          <w:p>
            <w:pPr>
              <w:spacing w:line="360" w:lineRule="exact"/>
              <w:rPr>
                <w:rFonts w:ascii="宋体" w:eastAsia="宋体" w:hAnsi="宋体" w:cs="宋体" w:hint="eastAsia"/>
                <w:szCs w:val="21"/>
              </w:rPr>
            </w:pPr>
            <w:r>
              <w:rPr>
                <w:rFonts w:ascii="宋体" w:eastAsia="宋体" w:hAnsi="宋体" w:cs="宋体" w:hint="eastAsia"/>
              </w:rPr>
              <w:t>1.</w:t>
            </w:r>
            <w:r>
              <w:rPr>
                <w:rFonts w:ascii="宋体" w:eastAsia="宋体" w:hAnsi="宋体" w:cs="宋体" w:hint="eastAsia"/>
                <w:lang w:val="en-US" w:eastAsia="zh-CN"/>
              </w:rPr>
              <w:t>优评分标准</w:t>
            </w:r>
            <w:r>
              <w:rPr>
                <w:rFonts w:ascii="宋体" w:eastAsia="宋体" w:hAnsi="宋体" w:cs="宋体" w:hint="eastAsia"/>
                <w:lang w:eastAsia="zh-CN"/>
              </w:rPr>
              <w:t>：</w:t>
            </w:r>
            <w:r>
              <w:rPr>
                <w:rFonts w:ascii="宋体" w:eastAsia="宋体" w:hAnsi="宋体" w:cs="宋体" w:hint="eastAsia"/>
                <w:szCs w:val="21"/>
              </w:rPr>
              <w:t>应急处理方案内容详细，突发事件响应时间快速、响应距离</w:t>
            </w:r>
            <w:r>
              <w:rPr>
                <w:rFonts w:ascii="宋体" w:eastAsia="宋体" w:hAnsi="宋体" w:cs="宋体" w:hint="eastAsia"/>
                <w:szCs w:val="21"/>
                <w:lang w:val="en-US" w:eastAsia="zh-CN"/>
              </w:rPr>
              <w:t>短、响应</w:t>
            </w:r>
            <w:r>
              <w:rPr>
                <w:rFonts w:ascii="宋体" w:eastAsia="宋体" w:hAnsi="宋体" w:cs="宋体" w:hint="eastAsia"/>
                <w:szCs w:val="21"/>
              </w:rPr>
              <w:t>快捷便利、故障处理迅速，方案可行性强，</w:t>
            </w:r>
            <w:r>
              <w:rPr>
                <w:rFonts w:ascii="宋体" w:eastAsia="宋体" w:hAnsi="宋体" w:cs="宋体" w:hint="eastAsia"/>
                <w:szCs w:val="21"/>
                <w:lang w:val="en-US" w:eastAsia="zh-CN"/>
              </w:rPr>
              <w:t>加40</w:t>
            </w:r>
            <w:r>
              <w:rPr>
                <w:rFonts w:ascii="宋体" w:eastAsia="宋体" w:hAnsi="宋体" w:cs="宋体" w:hint="eastAsia"/>
                <w:szCs w:val="21"/>
              </w:rPr>
              <w:t>分；</w:t>
            </w:r>
          </w:p>
          <w:p>
            <w:pPr>
              <w:spacing w:line="360" w:lineRule="exact"/>
              <w:rPr>
                <w:rFonts w:ascii="宋体" w:eastAsia="宋体" w:hAnsi="宋体" w:cs="宋体" w:hint="eastAsia"/>
                <w:szCs w:val="21"/>
              </w:rPr>
            </w:pPr>
            <w:r>
              <w:rPr>
                <w:rFonts w:ascii="宋体" w:eastAsia="宋体" w:hAnsi="宋体" w:cs="宋体" w:hint="eastAsia"/>
              </w:rPr>
              <w:t>2.良</w:t>
            </w:r>
            <w:r>
              <w:rPr>
                <w:rFonts w:ascii="宋体" w:eastAsia="宋体" w:hAnsi="宋体" w:cs="宋体" w:hint="eastAsia"/>
                <w:lang w:val="en-US" w:eastAsia="zh-CN"/>
              </w:rPr>
              <w:t>评分标准：</w:t>
            </w:r>
            <w:r>
              <w:rPr>
                <w:rFonts w:ascii="宋体" w:eastAsia="宋体" w:hAnsi="宋体" w:cs="宋体" w:hint="eastAsia"/>
                <w:szCs w:val="21"/>
              </w:rPr>
              <w:t>应急处理方案内容较详细，突发事件响应时间短、响应距离</w:t>
            </w:r>
            <w:r>
              <w:rPr>
                <w:rFonts w:ascii="宋体" w:eastAsia="宋体" w:hAnsi="宋体" w:cs="宋体" w:hint="eastAsia"/>
                <w:szCs w:val="21"/>
                <w:lang w:val="en-US" w:eastAsia="zh-CN"/>
              </w:rPr>
              <w:t>较短，响应较为</w:t>
            </w:r>
            <w:r>
              <w:rPr>
                <w:rFonts w:ascii="宋体" w:eastAsia="宋体" w:hAnsi="宋体" w:cs="宋体" w:hint="eastAsia"/>
                <w:szCs w:val="21"/>
              </w:rPr>
              <w:t>快捷</w:t>
            </w:r>
            <w:r>
              <w:rPr>
                <w:rFonts w:ascii="宋体" w:eastAsia="宋体" w:hAnsi="宋体" w:cs="宋体" w:hint="eastAsia"/>
                <w:szCs w:val="21"/>
                <w:lang w:val="en-US" w:eastAsia="zh-CN"/>
              </w:rPr>
              <w:t>便利</w:t>
            </w:r>
            <w:r>
              <w:rPr>
                <w:rFonts w:ascii="宋体" w:eastAsia="宋体" w:hAnsi="宋体" w:cs="宋体" w:hint="eastAsia"/>
                <w:szCs w:val="21"/>
              </w:rPr>
              <w:t>、故障处理迅速，方案可行性较强，</w:t>
            </w:r>
            <w:r>
              <w:rPr>
                <w:rFonts w:ascii="宋体" w:eastAsia="宋体" w:hAnsi="宋体" w:cs="宋体" w:hint="eastAsia"/>
                <w:szCs w:val="21"/>
                <w:lang w:val="en-US" w:eastAsia="zh-CN"/>
              </w:rPr>
              <w:t>加25</w:t>
            </w:r>
            <w:r>
              <w:rPr>
                <w:rFonts w:ascii="宋体" w:eastAsia="宋体" w:hAnsi="宋体" w:cs="宋体" w:hint="eastAsia"/>
                <w:szCs w:val="21"/>
              </w:rPr>
              <w:t>分；</w:t>
            </w:r>
          </w:p>
          <w:p>
            <w:pPr>
              <w:spacing w:line="360" w:lineRule="exact"/>
              <w:rPr>
                <w:rFonts w:ascii="宋体" w:eastAsia="宋体" w:hAnsi="宋体" w:cs="宋体" w:hint="eastAsia"/>
                <w:szCs w:val="21"/>
              </w:rPr>
            </w:pPr>
            <w:r>
              <w:rPr>
                <w:rFonts w:ascii="宋体" w:eastAsia="宋体" w:hAnsi="宋体" w:cs="宋体" w:hint="eastAsia"/>
              </w:rPr>
              <w:t>3.</w:t>
            </w:r>
            <w:r>
              <w:rPr>
                <w:rFonts w:ascii="宋体" w:eastAsia="宋体" w:hAnsi="宋体" w:cs="宋体" w:hint="eastAsia"/>
                <w:lang w:eastAsia="zh-CN"/>
              </w:rPr>
              <w:t>中</w:t>
            </w:r>
            <w:r>
              <w:rPr>
                <w:rFonts w:ascii="宋体" w:eastAsia="宋体" w:hAnsi="宋体" w:cs="宋体" w:hint="eastAsia"/>
                <w:lang w:val="en-US" w:eastAsia="zh-CN"/>
              </w:rPr>
              <w:t>评分标准</w:t>
            </w:r>
            <w:r>
              <w:rPr>
                <w:rFonts w:ascii="宋体" w:eastAsia="宋体" w:hAnsi="宋体" w:cs="宋体" w:hint="eastAsia"/>
                <w:lang w:eastAsia="zh-CN"/>
              </w:rPr>
              <w:t>：</w:t>
            </w:r>
            <w:r>
              <w:rPr>
                <w:rFonts w:ascii="宋体" w:eastAsia="宋体" w:hAnsi="宋体" w:cs="宋体" w:hint="eastAsia"/>
                <w:szCs w:val="21"/>
              </w:rPr>
              <w:t>应急处理方案内容较一般，突发事件响应处理耗时</w:t>
            </w:r>
            <w:r>
              <w:rPr>
                <w:rFonts w:ascii="宋体" w:eastAsia="宋体" w:hAnsi="宋体" w:cs="宋体" w:hint="eastAsia"/>
                <w:szCs w:val="21"/>
                <w:lang w:val="en-US" w:eastAsia="zh-CN"/>
              </w:rPr>
              <w:t>较</w:t>
            </w:r>
            <w:r>
              <w:rPr>
                <w:rFonts w:ascii="宋体" w:eastAsia="宋体" w:hAnsi="宋体" w:cs="宋体" w:hint="eastAsia"/>
                <w:szCs w:val="21"/>
              </w:rPr>
              <w:t>长，响应距离</w:t>
            </w:r>
            <w:r>
              <w:rPr>
                <w:rFonts w:ascii="宋体" w:eastAsia="宋体" w:hAnsi="宋体" w:cs="宋体" w:hint="eastAsia"/>
                <w:szCs w:val="21"/>
                <w:lang w:val="en-US" w:eastAsia="zh-CN"/>
              </w:rPr>
              <w:t>较</w:t>
            </w:r>
            <w:r>
              <w:rPr>
                <w:rFonts w:ascii="宋体" w:eastAsia="宋体" w:hAnsi="宋体" w:cs="宋体" w:hint="eastAsia"/>
                <w:szCs w:val="21"/>
              </w:rPr>
              <w:t>远、方案不完整，合理性较低，</w:t>
            </w:r>
            <w:r>
              <w:rPr>
                <w:rFonts w:ascii="宋体" w:eastAsia="宋体" w:hAnsi="宋体" w:cs="宋体" w:hint="eastAsia"/>
                <w:szCs w:val="21"/>
                <w:lang w:val="en-US" w:eastAsia="zh-CN"/>
              </w:rPr>
              <w:t>加10</w:t>
            </w:r>
            <w:r>
              <w:rPr>
                <w:rFonts w:ascii="宋体" w:eastAsia="宋体" w:hAnsi="宋体" w:cs="宋体" w:hint="eastAsia"/>
                <w:szCs w:val="21"/>
              </w:rPr>
              <w:t>分；</w:t>
            </w:r>
          </w:p>
          <w:p>
            <w:pPr>
              <w:spacing w:line="360" w:lineRule="exact"/>
              <w:rPr>
                <w:rFonts w:ascii="宋体" w:eastAsia="宋体" w:hAnsi="宋体" w:cs="宋体" w:hint="eastAsia"/>
                <w:szCs w:val="21"/>
              </w:rPr>
            </w:pPr>
            <w:r>
              <w:rPr>
                <w:rFonts w:ascii="宋体" w:eastAsia="宋体" w:hAnsi="宋体" w:cs="宋体" w:hint="eastAsia"/>
              </w:rPr>
              <w:t>4.</w:t>
            </w:r>
            <w:r>
              <w:rPr>
                <w:rFonts w:ascii="宋体" w:eastAsia="宋体" w:hAnsi="宋体" w:cs="宋体" w:hint="eastAsia"/>
                <w:lang w:eastAsia="zh-CN"/>
              </w:rPr>
              <w:t>差</w:t>
            </w:r>
            <w:r>
              <w:rPr>
                <w:rFonts w:ascii="宋体" w:eastAsia="宋体" w:hAnsi="宋体" w:cs="宋体" w:hint="eastAsia"/>
                <w:lang w:val="en-US" w:eastAsia="zh-CN"/>
              </w:rPr>
              <w:t>评分标准</w:t>
            </w:r>
            <w:r>
              <w:rPr>
                <w:rFonts w:ascii="宋体" w:eastAsia="宋体" w:hAnsi="宋体" w:cs="宋体" w:hint="eastAsia"/>
                <w:lang w:eastAsia="zh-CN"/>
              </w:rPr>
              <w:t>：</w:t>
            </w:r>
            <w:r>
              <w:rPr>
                <w:rFonts w:ascii="宋体" w:eastAsia="宋体" w:hAnsi="宋体" w:cs="宋体" w:hint="eastAsia"/>
                <w:szCs w:val="21"/>
              </w:rPr>
              <w:t>应急处理方案内容</w:t>
            </w:r>
            <w:r>
              <w:rPr>
                <w:rFonts w:ascii="宋体" w:eastAsia="宋体" w:hAnsi="宋体" w:cs="宋体" w:hint="eastAsia"/>
                <w:szCs w:val="21"/>
                <w:lang w:val="en-US" w:eastAsia="zh-CN"/>
              </w:rPr>
              <w:t>差</w:t>
            </w:r>
            <w:r>
              <w:rPr>
                <w:rFonts w:ascii="宋体" w:eastAsia="宋体" w:hAnsi="宋体" w:cs="宋体" w:hint="eastAsia"/>
                <w:szCs w:val="21"/>
              </w:rPr>
              <w:t>，突发事件响应处理耗时长，响应距离远、方案不完整，合理性低，</w:t>
            </w:r>
            <w:r>
              <w:rPr>
                <w:rFonts w:ascii="宋体" w:eastAsia="宋体" w:hAnsi="宋体" w:cs="宋体" w:hint="eastAsia"/>
                <w:szCs w:val="21"/>
                <w:lang w:val="en-US" w:eastAsia="zh-CN"/>
              </w:rPr>
              <w:t>不加</w:t>
            </w:r>
            <w:r>
              <w:rPr>
                <w:rFonts w:ascii="宋体" w:eastAsia="宋体" w:hAnsi="宋体" w:cs="宋体" w:hint="eastAsia"/>
                <w:szCs w:val="21"/>
              </w:rPr>
              <w:t>分；</w:t>
            </w:r>
          </w:p>
          <w:p>
            <w:pPr>
              <w:spacing w:line="360" w:lineRule="exact"/>
              <w:rPr>
                <w:rFonts w:ascii="宋体" w:eastAsia="宋体" w:hAnsi="宋体" w:cs="宋体" w:hint="eastAsia"/>
                <w:szCs w:val="21"/>
              </w:rPr>
            </w:pPr>
            <w:r>
              <w:rPr>
                <w:rFonts w:ascii="宋体" w:eastAsia="宋体" w:hAnsi="宋体" w:cs="宋体" w:hint="eastAsia"/>
              </w:rPr>
              <w:t>如果评审为差,要求评委书面说明理由,并记录在档。</w:t>
            </w:r>
          </w:p>
        </w:tc>
      </w:tr>
      <w:tr>
        <w:tblPrEx>
          <w:tblW w:w="9639" w:type="dxa"/>
          <w:jc w:val="center"/>
          <w:tblLayout w:type="fixed"/>
          <w:tblCellMar>
            <w:top w:w="20" w:type="dxa"/>
            <w:left w:w="108" w:type="dxa"/>
            <w:bottom w:w="20" w:type="dxa"/>
            <w:right w:w="108" w:type="dxa"/>
          </w:tblCellMar>
        </w:tblPrEx>
        <w:trPr>
          <w:jc w:val="center"/>
        </w:trPr>
        <w:tc>
          <w:tcPr>
            <w:tcW w:w="657" w:type="dxa"/>
            <w:vMerge/>
            <w:tcBorders>
              <w:left w:val="single" w:sz="8" w:space="0" w:color="000000"/>
              <w:bottom w:val="single" w:sz="8" w:space="0" w:color="000000"/>
              <w:right w:val="single" w:sz="8" w:space="0" w:color="000000"/>
            </w:tcBorders>
            <w:noWrap w:val="0"/>
            <w:vAlign w:val="center"/>
          </w:tcPr>
          <w:p>
            <w:pPr>
              <w:spacing w:line="360" w:lineRule="exact"/>
              <w:rPr>
                <w:rFonts w:ascii="宋体" w:eastAsia="宋体" w:hAnsi="宋体" w:cs="宋体"/>
                <w:b/>
                <w:bCs/>
                <w:color w:val="0000FF"/>
                <w:sz w:val="24"/>
                <w:szCs w:val="24"/>
              </w:rPr>
            </w:pPr>
          </w:p>
        </w:tc>
        <w:tc>
          <w:tcPr>
            <w:tcW w:w="657" w:type="dxa"/>
            <w:tcBorders>
              <w:top w:val="single" w:sz="8" w:space="0" w:color="000000"/>
              <w:left w:val="single" w:sz="8" w:space="0" w:color="000000"/>
              <w:bottom w:val="single" w:sz="8" w:space="0" w:color="000000"/>
              <w:right w:val="single" w:sz="8" w:space="0" w:color="000000"/>
            </w:tcBorders>
            <w:noWrap w:val="0"/>
            <w:vAlign w:val="top"/>
          </w:tcPr>
          <w:p>
            <w:pPr>
              <w:spacing w:line="360" w:lineRule="exact"/>
              <w:jc w:val="center"/>
              <w:rPr>
                <w:rFonts w:ascii="宋体" w:eastAsia="宋体" w:hAnsi="宋体" w:cs="宋体" w:hint="eastAsia"/>
                <w:szCs w:val="21"/>
                <w:lang w:val="en-US" w:eastAsia="zh-CN"/>
              </w:rPr>
            </w:pPr>
            <w:r>
              <w:rPr>
                <w:rFonts w:ascii="宋体" w:eastAsia="宋体" w:hAnsi="宋体" w:cs="宋体" w:hint="eastAsia"/>
                <w:szCs w:val="21"/>
                <w:lang w:val="en-US" w:eastAsia="zh-CN"/>
              </w:rPr>
              <w:t>6</w:t>
            </w:r>
          </w:p>
        </w:tc>
        <w:tc>
          <w:tcPr>
            <w:tcW w:w="2616" w:type="dxa"/>
            <w:tcBorders>
              <w:top w:val="single" w:sz="8" w:space="0" w:color="000000"/>
              <w:left w:val="single" w:sz="8" w:space="0" w:color="000000"/>
              <w:bottom w:val="single" w:sz="8" w:space="0" w:color="000000"/>
              <w:right w:val="single" w:sz="8" w:space="0" w:color="000000"/>
            </w:tcBorders>
            <w:noWrap w:val="0"/>
            <w:vAlign w:val="top"/>
          </w:tcPr>
          <w:p>
            <w:pPr>
              <w:spacing w:line="360" w:lineRule="exact"/>
              <w:rPr>
                <w:rFonts w:ascii="宋体" w:eastAsia="宋体" w:hAnsi="宋体" w:cs="宋体" w:hint="eastAsia"/>
                <w:kern w:val="2"/>
                <w:sz w:val="21"/>
                <w:szCs w:val="21"/>
                <w:lang w:val="en-US" w:eastAsia="zh-CN" w:bidi="ar-SA"/>
              </w:rPr>
            </w:pPr>
            <w:r>
              <w:rPr>
                <w:rFonts w:ascii="宋体" w:eastAsia="宋体" w:hAnsi="宋体" w:cs="宋体" w:hint="eastAsia"/>
                <w:szCs w:val="21"/>
              </w:rPr>
              <w:t>急诊救治服务</w:t>
            </w:r>
          </w:p>
        </w:tc>
        <w:tc>
          <w:tcPr>
            <w:tcW w:w="918" w:type="dxa"/>
            <w:tcBorders>
              <w:top w:val="single" w:sz="8" w:space="0" w:color="000000"/>
              <w:left w:val="single" w:sz="8" w:space="0" w:color="000000"/>
              <w:bottom w:val="single" w:sz="8" w:space="0" w:color="000000"/>
              <w:right w:val="single" w:sz="8" w:space="0" w:color="000000"/>
            </w:tcBorders>
            <w:noWrap w:val="0"/>
            <w:vAlign w:val="top"/>
          </w:tcPr>
          <w:p>
            <w:pPr>
              <w:spacing w:line="360" w:lineRule="exact"/>
              <w:jc w:val="center"/>
              <w:rPr>
                <w:rFonts w:ascii="宋体" w:eastAsia="宋体" w:hAnsi="宋体" w:cs="宋体" w:hint="eastAsia"/>
                <w:kern w:val="2"/>
                <w:sz w:val="21"/>
                <w:szCs w:val="21"/>
                <w:lang w:val="en-US" w:eastAsia="zh-CN" w:bidi="ar-SA"/>
              </w:rPr>
            </w:pPr>
            <w:r>
              <w:rPr>
                <w:rFonts w:ascii="宋体" w:eastAsia="宋体" w:hAnsi="宋体" w:cs="宋体" w:hint="eastAsia"/>
                <w:szCs w:val="21"/>
                <w:lang w:val="en-US" w:eastAsia="zh-CN"/>
              </w:rPr>
              <w:t>5</w:t>
            </w:r>
          </w:p>
        </w:tc>
        <w:tc>
          <w:tcPr>
            <w:tcW w:w="4791"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ascii="宋体" w:eastAsia="宋体" w:hAnsi="宋体" w:cs="宋体" w:hint="eastAsia"/>
                <w:szCs w:val="21"/>
                <w:lang w:eastAsia="zh-CN"/>
              </w:rPr>
            </w:pPr>
            <w:r>
              <w:rPr>
                <w:rFonts w:ascii="宋体" w:eastAsia="宋体" w:hAnsi="宋体" w:cs="宋体" w:hint="eastAsia"/>
                <w:szCs w:val="21"/>
                <w:lang w:eastAsia="zh-CN"/>
              </w:rPr>
              <w:t>（一）评分内容：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ascii="宋体" w:eastAsia="宋体" w:hAnsi="宋体" w:cs="宋体" w:hint="eastAsia"/>
                <w:szCs w:val="21"/>
                <w:lang w:val="en-US" w:eastAsia="zh-CN"/>
              </w:rPr>
            </w:pPr>
            <w:r>
              <w:rPr>
                <w:rFonts w:ascii="宋体" w:eastAsia="宋体" w:hAnsi="宋体" w:cs="宋体" w:hint="eastAsia"/>
                <w:szCs w:val="21"/>
                <w:lang w:val="en-US" w:eastAsia="zh-CN"/>
              </w:rPr>
              <w:t>1、</w:t>
            </w:r>
            <w:r>
              <w:rPr>
                <w:rFonts w:ascii="宋体" w:eastAsia="宋体" w:hAnsi="宋体" w:cs="宋体" w:hint="eastAsia"/>
                <w:szCs w:val="21"/>
                <w:lang w:eastAsia="zh-CN"/>
              </w:rPr>
              <w:t>投标</w:t>
            </w:r>
            <w:r>
              <w:rPr>
                <w:rFonts w:ascii="宋体" w:eastAsia="宋体" w:hAnsi="宋体" w:cs="宋体" w:hint="eastAsia"/>
                <w:szCs w:val="21"/>
                <w:lang w:val="en-US" w:eastAsia="zh-CN"/>
              </w:rPr>
              <w:t>人</w:t>
            </w:r>
            <w:r>
              <w:rPr>
                <w:rFonts w:ascii="宋体" w:eastAsia="宋体" w:hAnsi="宋体" w:cs="宋体" w:hint="eastAsia"/>
                <w:lang w:val="en-US" w:eastAsia="zh-CN"/>
              </w:rPr>
              <w:t>承诺</w:t>
            </w:r>
            <w:r>
              <w:rPr>
                <w:rFonts w:ascii="宋体" w:eastAsia="宋体" w:hAnsi="宋体" w:cs="宋体" w:hint="eastAsia"/>
                <w:szCs w:val="21"/>
                <w:lang w:val="en-US" w:eastAsia="zh-CN"/>
              </w:rPr>
              <w:t>具备开展24小时急诊救治服务能力的得50分，其他情况不得分。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ascii="宋体" w:eastAsia="宋体" w:hAnsi="宋体" w:cs="宋体" w:hint="eastAsia"/>
                <w:b/>
                <w:bCs/>
                <w:szCs w:val="21"/>
                <w:u w:val="double"/>
                <w:lang w:val="en-US" w:eastAsia="zh-CN"/>
              </w:rPr>
            </w:pPr>
            <w:r>
              <w:rPr>
                <w:rFonts w:ascii="宋体" w:eastAsia="宋体" w:hAnsi="宋体" w:cs="宋体" w:hint="eastAsia"/>
                <w:b/>
                <w:bCs/>
                <w:szCs w:val="21"/>
                <w:u w:val="double"/>
                <w:lang w:val="en-US" w:eastAsia="zh-CN"/>
              </w:rPr>
              <w:t>2、投标人设有重症监护室和急诊病房，承诺可为采购人优先安排</w:t>
            </w:r>
            <w:r>
              <w:rPr>
                <w:rFonts w:ascii="宋体" w:eastAsia="宋体" w:hAnsi="宋体" w:cs="宋体" w:hint="eastAsia"/>
                <w:b/>
                <w:bCs/>
                <w:szCs w:val="21"/>
                <w:u w:val="double"/>
                <w:lang w:eastAsia="zh-CN"/>
              </w:rPr>
              <w:t>重症监护室、</w:t>
            </w:r>
            <w:r>
              <w:rPr>
                <w:rFonts w:ascii="宋体" w:eastAsia="宋体" w:hAnsi="宋体" w:cs="宋体" w:hint="eastAsia"/>
                <w:b/>
                <w:bCs/>
                <w:szCs w:val="21"/>
                <w:u w:val="double"/>
                <w:lang w:val="en-US" w:eastAsia="zh-CN"/>
              </w:rPr>
              <w:t>优先安排</w:t>
            </w:r>
            <w:r>
              <w:rPr>
                <w:rFonts w:ascii="宋体" w:eastAsia="宋体" w:hAnsi="宋体" w:cs="宋体" w:hint="eastAsia"/>
                <w:b/>
                <w:bCs/>
                <w:szCs w:val="21"/>
                <w:u w:val="double"/>
                <w:lang w:eastAsia="zh-CN"/>
              </w:rPr>
              <w:t>急诊病房</w:t>
            </w:r>
            <w:r>
              <w:rPr>
                <w:rFonts w:ascii="宋体" w:eastAsia="宋体" w:hAnsi="宋体" w:cs="宋体" w:hint="eastAsia"/>
                <w:b/>
                <w:bCs/>
                <w:szCs w:val="21"/>
                <w:u w:val="double"/>
                <w:lang w:val="en-US" w:eastAsia="zh-CN"/>
              </w:rPr>
              <w:t>服务的得50分，其他情况不得分。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ascii="宋体" w:eastAsia="宋体" w:hAnsi="宋体" w:cs="宋体" w:hint="eastAsia"/>
                <w:szCs w:val="21"/>
                <w:lang w:val="en-US" w:eastAsia="zh-CN"/>
              </w:rPr>
            </w:pPr>
            <w:r>
              <w:rPr>
                <w:rFonts w:ascii="宋体" w:eastAsia="宋体" w:hAnsi="宋体" w:cs="宋体" w:hint="eastAsia"/>
                <w:szCs w:val="21"/>
                <w:lang w:val="en-US" w:eastAsia="zh-CN"/>
              </w:rPr>
              <w:t>以上累计最高得100分。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ascii="宋体" w:eastAsia="宋体" w:hAnsi="宋体" w:cs="宋体" w:hint="eastAsia"/>
                <w:szCs w:val="21"/>
                <w:lang w:eastAsia="zh-CN"/>
              </w:rPr>
            </w:pPr>
            <w:r>
              <w:rPr>
                <w:rFonts w:ascii="宋体" w:eastAsia="宋体" w:hAnsi="宋体" w:cs="宋体" w:hint="eastAsia"/>
                <w:szCs w:val="21"/>
                <w:lang w:eastAsia="zh-CN"/>
              </w:rPr>
              <w:t>（二）评分依据：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ascii="宋体" w:eastAsia="宋体" w:hAnsi="宋体" w:cs="宋体" w:hint="eastAsia"/>
                <w:lang w:val="en-US" w:eastAsia="zh-CN"/>
              </w:rPr>
            </w:pPr>
            <w:r>
              <w:rPr>
                <w:rFonts w:ascii="宋体" w:eastAsia="宋体" w:hAnsi="宋体" w:cs="宋体" w:hint="eastAsia"/>
                <w:szCs w:val="21"/>
                <w:lang w:eastAsia="zh-CN"/>
              </w:rPr>
              <w:t>1.</w:t>
            </w:r>
            <w:r>
              <w:rPr>
                <w:rFonts w:ascii="宋体" w:eastAsia="宋体" w:hAnsi="宋体" w:cs="宋体" w:hint="eastAsia"/>
                <w:szCs w:val="21"/>
                <w:lang w:val="en-US" w:eastAsia="zh-CN"/>
              </w:rPr>
              <w:t>评审项1</w:t>
            </w:r>
            <w:r>
              <w:rPr>
                <w:rFonts w:ascii="宋体" w:eastAsia="宋体" w:hAnsi="宋体" w:cs="宋体" w:hint="eastAsia"/>
                <w:szCs w:val="21"/>
                <w:lang w:eastAsia="zh-CN"/>
              </w:rPr>
              <w:t>需提供</w:t>
            </w:r>
            <w:r>
              <w:rPr>
                <w:rFonts w:ascii="宋体" w:eastAsia="宋体" w:hAnsi="宋体" w:cs="宋体" w:hint="eastAsia"/>
                <w:szCs w:val="21"/>
                <w:lang w:val="en-US" w:eastAsia="zh-CN"/>
              </w:rPr>
              <w:t>承诺函（格式自拟）。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ascii="宋体" w:eastAsia="宋体" w:hAnsi="宋体" w:cs="宋体" w:hint="eastAsia"/>
                <w:lang w:val="en-US" w:eastAsia="zh-CN"/>
              </w:rPr>
            </w:pPr>
            <w:r>
              <w:rPr>
                <w:rFonts w:ascii="宋体" w:eastAsia="宋体" w:hAnsi="宋体" w:cs="宋体" w:hint="eastAsia"/>
                <w:lang w:val="en-US" w:eastAsia="zh-CN"/>
              </w:rPr>
              <w:t>2.</w:t>
            </w:r>
            <w:r>
              <w:rPr>
                <w:rFonts w:ascii="宋体" w:eastAsia="宋体" w:hAnsi="宋体" w:cs="宋体" w:hint="eastAsia"/>
                <w:szCs w:val="21"/>
                <w:lang w:val="en-US" w:eastAsia="zh-CN"/>
              </w:rPr>
              <w:t>评审项2</w:t>
            </w:r>
            <w:r>
              <w:rPr>
                <w:rFonts w:ascii="宋体" w:eastAsia="宋体" w:hAnsi="宋体" w:cs="宋体" w:hint="eastAsia"/>
                <w:szCs w:val="21"/>
                <w:lang w:eastAsia="zh-CN"/>
              </w:rPr>
              <w:t>需提供</w:t>
            </w:r>
            <w:r>
              <w:rPr>
                <w:rFonts w:ascii="宋体" w:eastAsia="宋体" w:hAnsi="宋体" w:cs="宋体" w:hint="eastAsia"/>
                <w:szCs w:val="21"/>
                <w:lang w:val="en-US" w:eastAsia="zh-CN"/>
              </w:rPr>
              <w:t>急诊科室所在的</w:t>
            </w:r>
            <w:r>
              <w:rPr>
                <w:rFonts w:ascii="宋体" w:eastAsia="宋体" w:hAnsi="宋体" w:cs="宋体" w:hint="eastAsia"/>
                <w:szCs w:val="21"/>
                <w:lang w:eastAsia="zh-CN"/>
              </w:rPr>
              <w:t>平面布局图</w:t>
            </w:r>
            <w:r>
              <w:rPr>
                <w:rFonts w:ascii="宋体" w:eastAsia="宋体" w:hAnsi="宋体" w:cs="宋体" w:hint="eastAsia"/>
                <w:szCs w:val="21"/>
                <w:lang w:val="en-US" w:eastAsia="zh-CN"/>
              </w:rPr>
              <w:t>，</w:t>
            </w:r>
            <w:r>
              <w:rPr>
                <w:rFonts w:ascii="宋体" w:eastAsia="宋体" w:hAnsi="宋体" w:cs="宋体" w:hint="eastAsia"/>
                <w:szCs w:val="21"/>
                <w:lang w:eastAsia="zh-CN"/>
              </w:rPr>
              <w:t>重症监护室</w:t>
            </w:r>
            <w:r>
              <w:rPr>
                <w:rFonts w:ascii="宋体" w:eastAsia="宋体" w:hAnsi="宋体" w:cs="宋体" w:hint="eastAsia"/>
                <w:szCs w:val="21"/>
                <w:lang w:val="en-US" w:eastAsia="zh-CN"/>
              </w:rPr>
              <w:t>场地</w:t>
            </w:r>
            <w:r>
              <w:rPr>
                <w:rFonts w:ascii="宋体" w:eastAsia="宋体" w:hAnsi="宋体" w:cs="宋体" w:hint="eastAsia"/>
                <w:szCs w:val="21"/>
                <w:lang w:eastAsia="zh-CN"/>
              </w:rPr>
              <w:t>图片、病房环境</w:t>
            </w:r>
            <w:r>
              <w:rPr>
                <w:rFonts w:ascii="宋体" w:eastAsia="宋体" w:hAnsi="宋体" w:cs="宋体" w:hint="eastAsia"/>
                <w:szCs w:val="21"/>
                <w:lang w:val="en-US" w:eastAsia="zh-CN"/>
              </w:rPr>
              <w:t>图片及承诺函（格式自拟）。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0" w:leftChars="0" w:firstLineChars="0"/>
              <w:textAlignment w:val="auto"/>
              <w:rPr>
                <w:rFonts w:ascii="宋体" w:eastAsia="宋体" w:hAnsi="宋体" w:cs="宋体" w:hint="eastAsia"/>
                <w:kern w:val="2"/>
                <w:sz w:val="21"/>
                <w:szCs w:val="21"/>
                <w:lang w:val="en-US" w:eastAsia="zh-CN" w:bidi="ar-SA"/>
              </w:rPr>
            </w:pPr>
            <w:r>
              <w:rPr>
                <w:rFonts w:ascii="宋体" w:eastAsia="宋体" w:hAnsi="宋体" w:cs="宋体" w:hint="eastAsia"/>
                <w:szCs w:val="21"/>
                <w:lang w:val="en-US" w:eastAsia="zh-CN"/>
              </w:rPr>
              <w:t>3.</w:t>
            </w:r>
            <w:r>
              <w:rPr>
                <w:rFonts w:ascii="宋体" w:eastAsia="宋体" w:hAnsi="宋体" w:cs="宋体" w:hint="eastAsia"/>
                <w:szCs w:val="21"/>
                <w:lang w:eastAsia="zh-CN"/>
              </w:rPr>
              <w:t>提供以上证明文件扫描件，如涉及网站截图或照片等证明材料，需提供清晰图片。</w:t>
            </w:r>
            <w:r>
              <w:rPr>
                <w:rFonts w:ascii="宋体" w:eastAsia="宋体" w:hAnsi="宋体" w:cs="宋体" w:hint="eastAsia"/>
                <w:szCs w:val="21"/>
                <w:lang w:val="zh-CN" w:eastAsia="zh-CN"/>
              </w:rPr>
              <w:t>对于未提供证明文件，</w:t>
            </w:r>
            <w:r>
              <w:rPr>
                <w:rFonts w:ascii="宋体" w:eastAsia="宋体" w:hAnsi="宋体" w:cs="宋体" w:hint="eastAsia"/>
                <w:szCs w:val="21"/>
                <w:lang w:val="en-US" w:eastAsia="zh-CN"/>
              </w:rPr>
              <w:t>或者证明材料内容不满足招标文件要求</w:t>
            </w:r>
            <w:r>
              <w:rPr>
                <w:rFonts w:ascii="宋体" w:eastAsia="宋体" w:hAnsi="宋体" w:cs="宋体" w:hint="eastAsia"/>
                <w:szCs w:val="21"/>
                <w:lang w:val="zh-CN" w:eastAsia="zh-CN"/>
              </w:rPr>
              <w:t>，或者提供不清晰导致评委无法判断的，均作不得分处理。</w:t>
            </w:r>
          </w:p>
        </w:tc>
      </w:tr>
      <w:tr>
        <w:tblPrEx>
          <w:tblW w:w="9639" w:type="dxa"/>
          <w:jc w:val="center"/>
          <w:tblLayout w:type="fixed"/>
          <w:tblCellMar>
            <w:top w:w="20" w:type="dxa"/>
            <w:left w:w="108" w:type="dxa"/>
            <w:bottom w:w="20" w:type="dxa"/>
            <w:right w:w="108" w:type="dxa"/>
          </w:tblCellMar>
        </w:tblPrEx>
        <w:trPr>
          <w:jc w:val="center"/>
        </w:trPr>
        <w:tc>
          <w:tcPr>
            <w:tcW w:w="657" w:type="dxa"/>
            <w:vMerge w:val="restart"/>
            <w:tcBorders>
              <w:top w:val="single" w:sz="8" w:space="0" w:color="000000"/>
              <w:left w:val="single" w:sz="8" w:space="0" w:color="000000"/>
              <w:right w:val="single" w:sz="8" w:space="0" w:color="000000"/>
            </w:tcBorders>
            <w:noWrap w:val="0"/>
            <w:vAlign w:val="top"/>
          </w:tcPr>
          <w:p>
            <w:pPr>
              <w:spacing w:line="360" w:lineRule="exact"/>
              <w:jc w:val="center"/>
              <w:rPr>
                <w:rFonts w:ascii="宋体" w:eastAsia="宋体" w:hAnsi="宋体" w:cs="宋体"/>
                <w:b/>
                <w:bCs/>
                <w:color w:val="0000FF"/>
                <w:sz w:val="24"/>
                <w:szCs w:val="24"/>
              </w:rPr>
            </w:pPr>
            <w:r>
              <w:rPr>
                <w:rFonts w:ascii="宋体" w:eastAsia="宋体" w:hAnsi="宋体"/>
                <w:b/>
                <w:bCs/>
                <w:color w:val="0000FF"/>
              </w:rPr>
              <w:t>3</w:t>
            </w:r>
          </w:p>
        </w:tc>
        <w:tc>
          <w:tcPr>
            <w:tcW w:w="4191" w:type="dxa"/>
            <w:gridSpan w:val="3"/>
            <w:tcBorders>
              <w:top w:val="single" w:sz="8" w:space="0" w:color="000000"/>
              <w:left w:val="single" w:sz="8" w:space="0" w:color="000000"/>
              <w:bottom w:val="single" w:sz="8" w:space="0" w:color="000000"/>
              <w:right w:val="single" w:sz="8" w:space="0" w:color="000000"/>
            </w:tcBorders>
            <w:noWrap w:val="0"/>
            <w:vAlign w:val="top"/>
          </w:tcPr>
          <w:p>
            <w:pPr>
              <w:spacing w:line="360" w:lineRule="exact"/>
              <w:jc w:val="center"/>
              <w:rPr>
                <w:rFonts w:ascii="宋体" w:eastAsia="宋体" w:hAnsi="宋体" w:cs="宋体"/>
                <w:b/>
                <w:bCs/>
                <w:color w:val="0000FF"/>
                <w:sz w:val="24"/>
                <w:szCs w:val="24"/>
              </w:rPr>
            </w:pPr>
            <w:r>
              <w:rPr>
                <w:rFonts w:ascii="宋体" w:eastAsia="宋体" w:hAnsi="宋体"/>
                <w:b/>
                <w:bCs/>
                <w:color w:val="0000FF"/>
              </w:rPr>
              <w:t>商务</w:t>
            </w:r>
          </w:p>
        </w:tc>
        <w:tc>
          <w:tcPr>
            <w:tcW w:w="4791" w:type="dxa"/>
            <w:tcBorders>
              <w:top w:val="single" w:sz="8" w:space="0" w:color="000000"/>
              <w:left w:val="single" w:sz="8" w:space="0" w:color="000000"/>
              <w:bottom w:val="single" w:sz="8" w:space="0" w:color="000000"/>
              <w:right w:val="single" w:sz="8" w:space="0" w:color="000000"/>
            </w:tcBorders>
            <w:noWrap w:val="0"/>
            <w:vAlign w:val="top"/>
          </w:tcPr>
          <w:p>
            <w:pPr>
              <w:spacing w:line="360" w:lineRule="exact"/>
              <w:jc w:val="center"/>
              <w:rPr>
                <w:rFonts w:ascii="宋体" w:eastAsia="宋体" w:hAnsi="宋体" w:cs="宋体" w:hint="default"/>
                <w:b/>
                <w:bCs/>
                <w:color w:val="0000FF"/>
                <w:sz w:val="24"/>
                <w:szCs w:val="24"/>
                <w:lang w:val="en-US" w:eastAsia="zh-CN"/>
              </w:rPr>
            </w:pPr>
            <w:r>
              <w:rPr>
                <w:rFonts w:ascii="宋体" w:eastAsia="宋体" w:hAnsi="宋体" w:hint="eastAsia"/>
                <w:b/>
                <w:bCs/>
                <w:color w:val="0000FF"/>
                <w:lang w:val="en-US" w:eastAsia="zh-CN"/>
              </w:rPr>
              <w:t>45</w:t>
            </w:r>
          </w:p>
        </w:tc>
      </w:tr>
      <w:tr>
        <w:tblPrEx>
          <w:tblW w:w="9639" w:type="dxa"/>
          <w:jc w:val="center"/>
          <w:tblLayout w:type="fixed"/>
          <w:tblCellMar>
            <w:top w:w="20" w:type="dxa"/>
            <w:left w:w="108" w:type="dxa"/>
            <w:bottom w:w="20" w:type="dxa"/>
            <w:right w:w="108" w:type="dxa"/>
          </w:tblCellMar>
        </w:tblPrEx>
        <w:trPr>
          <w:jc w:val="center"/>
        </w:trPr>
        <w:tc>
          <w:tcPr>
            <w:tcW w:w="657" w:type="dxa"/>
            <w:vMerge/>
            <w:tcBorders>
              <w:left w:val="single" w:sz="8" w:space="0" w:color="000000"/>
              <w:right w:val="single" w:sz="8" w:space="0" w:color="000000"/>
            </w:tcBorders>
            <w:shd w:val="clear" w:color="auto" w:fill="auto"/>
            <w:noWrap w:val="0"/>
            <w:vAlign w:val="center"/>
          </w:tcPr>
          <w:p>
            <w:pPr>
              <w:spacing w:line="360" w:lineRule="exact"/>
              <w:rPr>
                <w:rFonts w:ascii="宋体" w:eastAsia="宋体" w:hAnsi="宋体" w:cs="宋体"/>
                <w:b/>
                <w:bCs/>
                <w:color w:val="0000FF"/>
                <w:sz w:val="24"/>
                <w:szCs w:val="24"/>
              </w:rPr>
            </w:pPr>
          </w:p>
        </w:tc>
        <w:tc>
          <w:tcPr>
            <w:tcW w:w="657"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spacing w:line="360" w:lineRule="exact"/>
              <w:jc w:val="center"/>
              <w:rPr>
                <w:rFonts w:ascii="宋体" w:eastAsia="宋体" w:hAnsi="宋体" w:cs="宋体"/>
                <w:szCs w:val="21"/>
              </w:rPr>
            </w:pPr>
            <w:r>
              <w:rPr>
                <w:rFonts w:ascii="宋体" w:eastAsia="宋体" w:hAnsi="宋体"/>
                <w:szCs w:val="21"/>
              </w:rPr>
              <w:t>序号</w:t>
            </w:r>
          </w:p>
        </w:tc>
        <w:tc>
          <w:tcPr>
            <w:tcW w:w="2616"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spacing w:line="360" w:lineRule="exact"/>
              <w:jc w:val="center"/>
              <w:rPr>
                <w:rFonts w:ascii="宋体" w:eastAsia="宋体" w:hAnsi="宋体" w:cs="宋体"/>
                <w:szCs w:val="21"/>
              </w:rPr>
            </w:pPr>
            <w:r>
              <w:rPr>
                <w:rFonts w:ascii="宋体" w:eastAsia="宋体" w:hAnsi="宋体"/>
                <w:szCs w:val="21"/>
              </w:rPr>
              <w:t>评分因素</w:t>
            </w:r>
          </w:p>
        </w:tc>
        <w:tc>
          <w:tcPr>
            <w:tcW w:w="918"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spacing w:line="360" w:lineRule="exact"/>
              <w:jc w:val="center"/>
              <w:rPr>
                <w:rFonts w:ascii="宋体" w:eastAsia="宋体" w:hAnsi="宋体" w:cs="宋体"/>
                <w:szCs w:val="21"/>
              </w:rPr>
            </w:pPr>
            <w:r>
              <w:rPr>
                <w:rFonts w:ascii="宋体" w:eastAsia="宋体" w:hAnsi="宋体"/>
                <w:szCs w:val="21"/>
              </w:rPr>
              <w:t>权重(%)</w:t>
            </w:r>
          </w:p>
        </w:tc>
        <w:tc>
          <w:tcPr>
            <w:tcW w:w="4791"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spacing w:line="360" w:lineRule="exact"/>
              <w:jc w:val="center"/>
              <w:rPr>
                <w:rFonts w:ascii="宋体" w:eastAsia="宋体" w:hAnsi="宋体" w:cs="宋体"/>
                <w:szCs w:val="21"/>
              </w:rPr>
            </w:pPr>
            <w:r>
              <w:rPr>
                <w:rFonts w:ascii="宋体" w:eastAsia="宋体" w:hAnsi="宋体"/>
                <w:szCs w:val="21"/>
              </w:rPr>
              <w:t>评分准则</w:t>
            </w:r>
          </w:p>
        </w:tc>
      </w:tr>
      <w:tr>
        <w:tblPrEx>
          <w:tblW w:w="9639" w:type="dxa"/>
          <w:jc w:val="center"/>
          <w:tblLayout w:type="fixed"/>
          <w:tblCellMar>
            <w:top w:w="20" w:type="dxa"/>
            <w:left w:w="108" w:type="dxa"/>
            <w:bottom w:w="20" w:type="dxa"/>
            <w:right w:w="108" w:type="dxa"/>
          </w:tblCellMar>
        </w:tblPrEx>
        <w:trPr>
          <w:trHeight w:val="4052"/>
          <w:jc w:val="center"/>
        </w:trPr>
        <w:tc>
          <w:tcPr>
            <w:tcW w:w="657" w:type="dxa"/>
            <w:vMerge/>
            <w:tcBorders>
              <w:left w:val="single" w:sz="8" w:space="0" w:color="000000"/>
              <w:right w:val="single" w:sz="8" w:space="0" w:color="000000"/>
            </w:tcBorders>
            <w:noWrap w:val="0"/>
            <w:vAlign w:val="center"/>
          </w:tcPr>
          <w:p>
            <w:pPr>
              <w:spacing w:line="360" w:lineRule="exact"/>
              <w:rPr>
                <w:rFonts w:ascii="宋体" w:eastAsia="宋体" w:hAnsi="宋体" w:cs="宋体"/>
                <w:b/>
                <w:bCs/>
                <w:color w:val="0000FF"/>
                <w:sz w:val="24"/>
                <w:szCs w:val="24"/>
              </w:rPr>
            </w:pPr>
          </w:p>
        </w:tc>
        <w:tc>
          <w:tcPr>
            <w:tcW w:w="657" w:type="dxa"/>
            <w:tcBorders>
              <w:top w:val="single" w:sz="8" w:space="0" w:color="000000"/>
              <w:left w:val="single" w:sz="8" w:space="0" w:color="000000"/>
              <w:bottom w:val="single" w:sz="8" w:space="0" w:color="000000"/>
              <w:right w:val="single" w:sz="8" w:space="0" w:color="000000"/>
            </w:tcBorders>
            <w:noWrap w:val="0"/>
            <w:vAlign w:val="top"/>
          </w:tcPr>
          <w:p>
            <w:pPr>
              <w:spacing w:line="360" w:lineRule="exact"/>
              <w:jc w:val="center"/>
              <w:rPr>
                <w:rFonts w:ascii="宋体" w:eastAsia="宋体" w:hAnsi="宋体" w:cs="宋体"/>
                <w:szCs w:val="21"/>
              </w:rPr>
            </w:pPr>
            <w:r>
              <w:rPr>
                <w:rFonts w:ascii="宋体" w:eastAsia="宋体" w:hAnsi="宋体"/>
                <w:szCs w:val="21"/>
              </w:rPr>
              <w:t>1</w:t>
            </w:r>
          </w:p>
        </w:tc>
        <w:tc>
          <w:tcPr>
            <w:tcW w:w="2616" w:type="dxa"/>
            <w:tcBorders>
              <w:top w:val="single" w:sz="8" w:space="0" w:color="000000"/>
              <w:left w:val="single" w:sz="8" w:space="0" w:color="000000"/>
              <w:bottom w:val="single" w:sz="8" w:space="0" w:color="000000"/>
              <w:right w:val="single" w:sz="8" w:space="0" w:color="000000"/>
            </w:tcBorders>
            <w:noWrap w:val="0"/>
            <w:vAlign w:val="top"/>
          </w:tcPr>
          <w:p>
            <w:pPr>
              <w:spacing w:line="360" w:lineRule="exact"/>
              <w:jc w:val="left"/>
              <w:rPr>
                <w:rFonts w:ascii="宋体" w:eastAsia="宋体" w:hAnsi="宋体" w:cs="宋体" w:hint="eastAsia"/>
                <w:kern w:val="2"/>
                <w:sz w:val="21"/>
                <w:szCs w:val="21"/>
                <w:lang w:val="en-US" w:eastAsia="zh-CN" w:bidi="ar-SA"/>
              </w:rPr>
            </w:pPr>
            <w:r>
              <w:rPr>
                <w:rFonts w:ascii="宋体" w:eastAsia="宋体" w:hAnsi="宋体" w:cs="宋体" w:hint="default"/>
                <w:szCs w:val="21"/>
              </w:rPr>
              <w:t>大型医疗设备保障</w:t>
            </w:r>
          </w:p>
        </w:tc>
        <w:tc>
          <w:tcPr>
            <w:tcW w:w="918" w:type="dxa"/>
            <w:tcBorders>
              <w:top w:val="single" w:sz="8" w:space="0" w:color="000000"/>
              <w:left w:val="single" w:sz="8" w:space="0" w:color="000000"/>
              <w:bottom w:val="single" w:sz="8" w:space="0" w:color="000000"/>
              <w:right w:val="single" w:sz="8" w:space="0" w:color="000000"/>
            </w:tcBorders>
            <w:noWrap w:val="0"/>
            <w:vAlign w:val="top"/>
          </w:tcPr>
          <w:p>
            <w:pPr>
              <w:spacing w:line="360" w:lineRule="exact"/>
              <w:jc w:val="center"/>
              <w:rPr>
                <w:rFonts w:ascii="宋体" w:eastAsia="宋体" w:hAnsi="宋体" w:cs="宋体" w:hint="default"/>
                <w:kern w:val="2"/>
                <w:sz w:val="21"/>
                <w:szCs w:val="21"/>
                <w:lang w:val="en-US" w:eastAsia="zh-CN" w:bidi="ar-SA"/>
              </w:rPr>
            </w:pPr>
            <w:r>
              <w:rPr>
                <w:rFonts w:ascii="宋体" w:hAnsi="宋体" w:cs="宋体" w:hint="eastAsia"/>
                <w:b/>
                <w:bCs/>
                <w:szCs w:val="21"/>
                <w:u w:val="double"/>
                <w:lang w:val="en-US" w:eastAsia="zh-CN"/>
              </w:rPr>
              <w:t>15</w:t>
            </w:r>
          </w:p>
        </w:tc>
        <w:tc>
          <w:tcPr>
            <w:tcW w:w="4791" w:type="dxa"/>
            <w:tcBorders>
              <w:top w:val="single" w:sz="8" w:space="0" w:color="000000"/>
              <w:left w:val="single" w:sz="8" w:space="0" w:color="000000"/>
              <w:bottom w:val="single" w:sz="8" w:space="0" w:color="000000"/>
              <w:right w:val="single" w:sz="8" w:space="0" w:color="000000"/>
            </w:tcBorders>
            <w:noWrap w:val="0"/>
            <w:vAlign w:val="top"/>
          </w:tcPr>
          <w:p>
            <w:pPr>
              <w:numPr>
                <w:ilvl w:val="0"/>
                <w:numId w:val="0"/>
              </w:numPr>
              <w:spacing w:line="240" w:lineRule="auto"/>
              <w:rPr>
                <w:rFonts w:ascii="宋体" w:eastAsia="宋体" w:hAnsi="宋体" w:cs="宋体" w:hint="eastAsia"/>
                <w:szCs w:val="21"/>
                <w:lang w:val="zh-CN" w:eastAsia="zh-CN"/>
              </w:rPr>
            </w:pPr>
            <w:r>
              <w:rPr>
                <w:rFonts w:ascii="宋体" w:eastAsia="宋体" w:hAnsi="宋体" w:cs="宋体" w:hint="eastAsia"/>
                <w:szCs w:val="21"/>
                <w:lang w:val="zh-CN" w:eastAsia="zh-CN"/>
              </w:rPr>
              <w:t>（一）评分内容：</w:t>
            </w:r>
          </w:p>
          <w:p>
            <w:pPr>
              <w:numPr>
                <w:ilvl w:val="0"/>
                <w:numId w:val="0"/>
              </w:numPr>
              <w:spacing w:line="240" w:lineRule="auto"/>
              <w:rPr>
                <w:rFonts w:eastAsia="宋体" w:hint="eastAsia"/>
                <w:lang w:eastAsia="zh-CN"/>
              </w:rPr>
            </w:pPr>
            <w:r>
              <w:rPr>
                <w:rFonts w:ascii="宋体" w:eastAsia="宋体" w:hAnsi="宋体" w:cs="宋体" w:hint="eastAsia"/>
                <w:szCs w:val="21"/>
                <w:lang w:val="zh-CN" w:eastAsia="zh-CN"/>
              </w:rPr>
              <w:t>投标人具有</w:t>
            </w:r>
            <w:r>
              <w:rPr>
                <w:rFonts w:ascii="宋体" w:hAnsi="宋体" w:cs="宋体" w:hint="eastAsia"/>
                <w:szCs w:val="21"/>
                <w:lang w:val="en-US" w:eastAsia="zh-CN"/>
              </w:rPr>
              <w:t>以下</w:t>
            </w:r>
            <w:r>
              <w:rPr>
                <w:rFonts w:ascii="宋体" w:eastAsia="宋体" w:hAnsi="宋体" w:cs="宋体" w:hint="eastAsia"/>
                <w:szCs w:val="21"/>
                <w:lang w:val="zh-CN" w:eastAsia="zh-CN"/>
              </w:rPr>
              <w:t>大型医疗设备</w:t>
            </w:r>
            <w:r>
              <w:rPr>
                <w:rFonts w:hint="eastAsia"/>
                <w:lang w:eastAsia="zh-CN"/>
              </w:rPr>
              <w:t>：</w:t>
            </w:r>
          </w:p>
          <w:p>
            <w:pPr>
              <w:numPr>
                <w:ilvl w:val="0"/>
                <w:numId w:val="1"/>
              </w:numPr>
              <w:spacing w:line="240" w:lineRule="auto"/>
              <w:rPr>
                <w:rFonts w:ascii="宋体" w:eastAsia="宋体" w:hAnsi="宋体" w:cs="宋体" w:hint="eastAsia"/>
                <w:szCs w:val="21"/>
                <w:lang w:val="zh-CN" w:eastAsia="zh-CN"/>
              </w:rPr>
            </w:pPr>
            <w:r>
              <w:rPr>
                <w:rFonts w:ascii="宋体" w:eastAsia="宋体" w:hAnsi="宋体" w:cs="宋体" w:hint="eastAsia"/>
                <w:szCs w:val="21"/>
                <w:lang w:val="zh-CN" w:eastAsia="zh-CN"/>
              </w:rPr>
              <w:t>≥128排CT</w:t>
            </w:r>
            <w:r>
              <w:rPr>
                <w:rFonts w:ascii="宋体" w:hAnsi="宋体" w:cs="宋体" w:hint="eastAsia"/>
                <w:szCs w:val="21"/>
                <w:lang w:val="zh-CN" w:eastAsia="zh-CN"/>
              </w:rPr>
              <w:t>；</w:t>
            </w:r>
          </w:p>
          <w:p>
            <w:pPr>
              <w:numPr>
                <w:ilvl w:val="0"/>
                <w:numId w:val="1"/>
              </w:numPr>
              <w:spacing w:line="240" w:lineRule="auto"/>
              <w:rPr>
                <w:rFonts w:ascii="宋体" w:eastAsia="宋体" w:hAnsi="宋体" w:cs="宋体" w:hint="eastAsia"/>
                <w:szCs w:val="21"/>
                <w:lang w:val="zh-CN" w:eastAsia="zh-CN"/>
              </w:rPr>
            </w:pPr>
            <w:r>
              <w:rPr>
                <w:rFonts w:ascii="宋体" w:eastAsia="宋体" w:hAnsi="宋体" w:cs="宋体" w:hint="eastAsia"/>
                <w:szCs w:val="21"/>
                <w:lang w:val="zh-CN" w:eastAsia="zh-CN"/>
              </w:rPr>
              <w:t>3.0T核磁共振</w:t>
            </w:r>
            <w:r>
              <w:rPr>
                <w:rFonts w:ascii="宋体" w:hAnsi="宋体" w:cs="宋体" w:hint="eastAsia"/>
                <w:szCs w:val="21"/>
                <w:lang w:val="zh-CN" w:eastAsia="zh-CN"/>
              </w:rPr>
              <w:t>；</w:t>
            </w:r>
          </w:p>
          <w:p>
            <w:pPr>
              <w:numPr>
                <w:ilvl w:val="0"/>
                <w:numId w:val="1"/>
              </w:numPr>
              <w:spacing w:line="240" w:lineRule="auto"/>
              <w:rPr>
                <w:rFonts w:ascii="宋体" w:eastAsia="宋体" w:hAnsi="宋体" w:cs="宋体" w:hint="eastAsia"/>
                <w:b/>
                <w:bCs/>
                <w:szCs w:val="21"/>
                <w:u w:val="double"/>
                <w:lang w:val="zh-CN" w:eastAsia="zh-CN"/>
              </w:rPr>
            </w:pPr>
            <w:r>
              <w:rPr>
                <w:rFonts w:ascii="宋体" w:hAnsi="宋体" w:cs="宋体" w:hint="eastAsia"/>
                <w:b/>
                <w:bCs/>
                <w:szCs w:val="21"/>
                <w:u w:val="double"/>
                <w:lang w:val="zh-CN" w:eastAsia="zh-CN"/>
              </w:rPr>
              <w:t>O型臂（O-Arm）三维影像导航系统；</w:t>
            </w:r>
          </w:p>
          <w:p>
            <w:pPr>
              <w:numPr>
                <w:ilvl w:val="0"/>
                <w:numId w:val="1"/>
              </w:numPr>
              <w:spacing w:line="240" w:lineRule="auto"/>
              <w:rPr>
                <w:rFonts w:ascii="宋体" w:eastAsia="宋体" w:hAnsi="宋体" w:cs="宋体" w:hint="eastAsia"/>
                <w:szCs w:val="21"/>
                <w:lang w:val="zh-CN" w:eastAsia="zh-CN"/>
              </w:rPr>
            </w:pPr>
            <w:r>
              <w:rPr>
                <w:rFonts w:ascii="宋体" w:eastAsia="宋体" w:hAnsi="宋体" w:cs="宋体" w:hint="eastAsia"/>
                <w:szCs w:val="21"/>
                <w:lang w:val="zh-CN" w:eastAsia="zh-CN"/>
              </w:rPr>
              <w:t>DSA数字减影血管造影</w:t>
            </w:r>
            <w:r>
              <w:rPr>
                <w:rFonts w:ascii="宋体" w:hAnsi="宋体" w:cs="宋体" w:hint="eastAsia"/>
                <w:szCs w:val="21"/>
                <w:lang w:val="zh-CN" w:eastAsia="zh-CN"/>
              </w:rPr>
              <w:t>。</w:t>
            </w:r>
          </w:p>
          <w:p>
            <w:pPr>
              <w:numPr>
                <w:ilvl w:val="0"/>
                <w:numId w:val="0"/>
              </w:numPr>
              <w:spacing w:line="240" w:lineRule="auto"/>
              <w:rPr>
                <w:rFonts w:ascii="宋体" w:eastAsia="宋体" w:hAnsi="宋体" w:cs="宋体" w:hint="eastAsia"/>
                <w:szCs w:val="21"/>
                <w:lang w:val="zh-CN" w:eastAsia="zh-CN"/>
              </w:rPr>
            </w:pPr>
            <w:r>
              <w:rPr>
                <w:rFonts w:ascii="宋体" w:eastAsia="宋体" w:hAnsi="宋体" w:cs="宋体" w:hint="eastAsia"/>
                <w:szCs w:val="21"/>
                <w:lang w:val="zh-CN" w:eastAsia="zh-CN"/>
              </w:rPr>
              <w:t>每提供一</w:t>
            </w:r>
            <w:r>
              <w:rPr>
                <w:rFonts w:ascii="宋体" w:hAnsi="宋体" w:cs="宋体" w:hint="eastAsia"/>
                <w:szCs w:val="21"/>
                <w:lang w:val="en-US" w:eastAsia="zh-CN"/>
              </w:rPr>
              <w:t>项</w:t>
            </w:r>
            <w:r>
              <w:rPr>
                <w:rFonts w:ascii="宋体" w:eastAsia="宋体" w:hAnsi="宋体" w:cs="宋体" w:hint="eastAsia"/>
                <w:szCs w:val="21"/>
                <w:lang w:val="zh-CN" w:eastAsia="zh-CN"/>
              </w:rPr>
              <w:t>设备得25分，最高得100分。</w:t>
            </w:r>
          </w:p>
          <w:p>
            <w:pPr>
              <w:numPr>
                <w:ilvl w:val="0"/>
                <w:numId w:val="0"/>
              </w:numPr>
              <w:spacing w:line="240" w:lineRule="auto"/>
              <w:rPr>
                <w:rFonts w:ascii="宋体" w:eastAsia="宋体" w:hAnsi="宋体" w:cs="宋体" w:hint="eastAsia"/>
                <w:szCs w:val="21"/>
                <w:lang w:val="zh-CN" w:eastAsia="zh-CN"/>
              </w:rPr>
            </w:pPr>
            <w:r>
              <w:rPr>
                <w:rFonts w:ascii="宋体" w:eastAsia="宋体" w:hAnsi="宋体" w:cs="宋体" w:hint="eastAsia"/>
                <w:szCs w:val="21"/>
                <w:lang w:val="zh-CN" w:eastAsia="zh-CN"/>
              </w:rPr>
              <w:t>（二）评分依据：</w:t>
            </w:r>
          </w:p>
          <w:p>
            <w:pPr>
              <w:numPr>
                <w:ilvl w:val="0"/>
                <w:numId w:val="0"/>
              </w:numPr>
              <w:spacing w:line="240" w:lineRule="auto"/>
              <w:rPr>
                <w:rFonts w:ascii="宋体" w:eastAsia="宋体" w:hAnsi="宋体" w:cs="宋体" w:hint="eastAsia"/>
                <w:szCs w:val="21"/>
                <w:lang w:val="zh-CN" w:eastAsia="zh-CN"/>
              </w:rPr>
            </w:pPr>
            <w:r>
              <w:rPr>
                <w:rFonts w:ascii="宋体" w:eastAsia="宋体" w:hAnsi="宋体" w:cs="宋体" w:hint="eastAsia"/>
                <w:szCs w:val="21"/>
                <w:lang w:val="zh-CN" w:eastAsia="zh-CN"/>
              </w:rPr>
              <w:t>1.自有设备</w:t>
            </w:r>
            <w:r>
              <w:rPr>
                <w:rFonts w:ascii="宋体" w:hAnsi="宋体" w:cs="宋体" w:hint="eastAsia"/>
                <w:szCs w:val="21"/>
                <w:lang w:val="zh-CN" w:eastAsia="zh-CN"/>
              </w:rPr>
              <w:t>的</w:t>
            </w:r>
            <w:r>
              <w:rPr>
                <w:rFonts w:ascii="宋体" w:eastAsia="宋体" w:hAnsi="宋体" w:cs="宋体" w:hint="eastAsia"/>
                <w:szCs w:val="21"/>
                <w:lang w:val="zh-CN" w:eastAsia="zh-CN"/>
              </w:rPr>
              <w:t>要求提供采购合同或与投标人单位名称相符的购买发票（凭证）；租赁</w:t>
            </w:r>
            <w:r>
              <w:rPr>
                <w:rFonts w:ascii="宋体" w:hAnsi="宋体" w:cs="宋体" w:hint="eastAsia"/>
                <w:szCs w:val="21"/>
                <w:lang w:val="en-US" w:eastAsia="zh-CN"/>
              </w:rPr>
              <w:t>方式</w:t>
            </w:r>
            <w:r>
              <w:rPr>
                <w:rFonts w:ascii="宋体" w:eastAsia="宋体" w:hAnsi="宋体" w:cs="宋体" w:hint="eastAsia"/>
                <w:szCs w:val="21"/>
                <w:lang w:val="zh-CN" w:eastAsia="zh-CN"/>
              </w:rPr>
              <w:t>的要求提供租赁合同</w:t>
            </w:r>
            <w:r>
              <w:rPr>
                <w:rFonts w:ascii="宋体" w:hAnsi="宋体" w:cs="宋体" w:hint="eastAsia"/>
                <w:szCs w:val="21"/>
                <w:lang w:val="zh-CN" w:eastAsia="zh-CN"/>
              </w:rPr>
              <w:t>和</w:t>
            </w:r>
            <w:r>
              <w:rPr>
                <w:rFonts w:ascii="宋体" w:hAnsi="宋体" w:cs="宋体" w:hint="eastAsia"/>
                <w:szCs w:val="21"/>
                <w:lang w:val="en-US" w:eastAsia="zh-CN"/>
              </w:rPr>
              <w:t>出租方</w:t>
            </w:r>
            <w:r>
              <w:rPr>
                <w:rFonts w:hint="eastAsia"/>
                <w:lang w:eastAsia="zh-CN"/>
              </w:rPr>
              <w:t>设备购买发票</w:t>
            </w:r>
            <w:r>
              <w:rPr>
                <w:rFonts w:ascii="宋体" w:eastAsia="宋体" w:hAnsi="宋体" w:cs="宋体" w:hint="eastAsia"/>
                <w:szCs w:val="21"/>
                <w:lang w:val="zh-CN" w:eastAsia="zh-CN"/>
              </w:rPr>
              <w:t>（</w:t>
            </w:r>
            <w:r>
              <w:rPr>
                <w:rFonts w:ascii="宋体" w:hAnsi="宋体" w:cs="宋体" w:hint="eastAsia"/>
                <w:szCs w:val="21"/>
                <w:lang w:val="en-US" w:eastAsia="zh-CN"/>
              </w:rPr>
              <w:t>或采购合同等</w:t>
            </w:r>
            <w:r>
              <w:rPr>
                <w:rFonts w:ascii="宋体" w:eastAsia="宋体" w:hAnsi="宋体" w:cs="宋体" w:hint="eastAsia"/>
                <w:szCs w:val="21"/>
                <w:lang w:val="zh-CN" w:eastAsia="zh-CN"/>
              </w:rPr>
              <w:t>凭证）作为得分依据。</w:t>
            </w:r>
          </w:p>
          <w:p>
            <w:pPr>
              <w:numPr>
                <w:ilvl w:val="0"/>
                <w:numId w:val="0"/>
              </w:numPr>
              <w:spacing w:line="240" w:lineRule="auto"/>
              <w:rPr>
                <w:rFonts w:ascii="宋体" w:eastAsia="宋体" w:hAnsi="宋体" w:cs="宋体" w:hint="eastAsia"/>
                <w:kern w:val="2"/>
                <w:sz w:val="21"/>
                <w:szCs w:val="21"/>
                <w:lang w:val="en-US" w:eastAsia="zh-CN" w:bidi="ar-SA"/>
              </w:rPr>
            </w:pPr>
            <w:r>
              <w:rPr>
                <w:rFonts w:ascii="宋体" w:eastAsia="宋体" w:hAnsi="宋体" w:cs="宋体" w:hint="eastAsia"/>
                <w:szCs w:val="21"/>
                <w:lang w:val="zh-CN" w:eastAsia="zh-CN"/>
              </w:rPr>
              <w:t>2.提供设备实物图片和以上证明文件扫描件，如涉及网站截图或照片等证明材料,需提供清晰图片。未按要求提供有效证明材料或提供不清晰导致评委无法识别的不计得分。</w:t>
            </w:r>
          </w:p>
        </w:tc>
      </w:tr>
      <w:tr>
        <w:tblPrEx>
          <w:tblW w:w="9639" w:type="dxa"/>
          <w:jc w:val="center"/>
          <w:tblLayout w:type="fixed"/>
          <w:tblCellMar>
            <w:top w:w="20" w:type="dxa"/>
            <w:left w:w="108" w:type="dxa"/>
            <w:bottom w:w="20" w:type="dxa"/>
            <w:right w:w="108" w:type="dxa"/>
          </w:tblCellMar>
        </w:tblPrEx>
        <w:trPr>
          <w:trHeight w:val="794"/>
          <w:jc w:val="center"/>
        </w:trPr>
        <w:tc>
          <w:tcPr>
            <w:tcW w:w="657" w:type="dxa"/>
            <w:vMerge/>
            <w:tcBorders>
              <w:left w:val="single" w:sz="8" w:space="0" w:color="000000"/>
              <w:right w:val="single" w:sz="8" w:space="0" w:color="000000"/>
            </w:tcBorders>
            <w:noWrap w:val="0"/>
            <w:vAlign w:val="center"/>
          </w:tcPr>
          <w:p>
            <w:pPr>
              <w:spacing w:line="360" w:lineRule="exact"/>
              <w:rPr>
                <w:rFonts w:ascii="宋体" w:eastAsia="宋体" w:hAnsi="宋体" w:cs="宋体"/>
                <w:b/>
                <w:bCs/>
                <w:color w:val="0000FF"/>
                <w:sz w:val="24"/>
                <w:szCs w:val="24"/>
              </w:rPr>
            </w:pPr>
          </w:p>
        </w:tc>
        <w:tc>
          <w:tcPr>
            <w:tcW w:w="657" w:type="dxa"/>
            <w:tcBorders>
              <w:top w:val="single" w:sz="8" w:space="0" w:color="000000"/>
              <w:left w:val="single" w:sz="8" w:space="0" w:color="000000"/>
              <w:bottom w:val="single" w:sz="8" w:space="0" w:color="000000"/>
              <w:right w:val="single" w:sz="8" w:space="0" w:color="000000"/>
            </w:tcBorders>
            <w:noWrap w:val="0"/>
            <w:vAlign w:val="top"/>
          </w:tcPr>
          <w:p>
            <w:pPr>
              <w:spacing w:line="360" w:lineRule="exact"/>
              <w:jc w:val="center"/>
              <w:rPr>
                <w:rFonts w:ascii="宋体" w:eastAsia="宋体" w:hAnsi="宋体" w:cs="宋体"/>
                <w:szCs w:val="21"/>
              </w:rPr>
            </w:pPr>
            <w:r>
              <w:rPr>
                <w:rFonts w:ascii="宋体" w:eastAsia="宋体" w:hAnsi="宋体"/>
                <w:szCs w:val="21"/>
              </w:rPr>
              <w:t>2</w:t>
            </w:r>
          </w:p>
        </w:tc>
        <w:tc>
          <w:tcPr>
            <w:tcW w:w="2616" w:type="dxa"/>
            <w:tcBorders>
              <w:top w:val="single" w:sz="8" w:space="0" w:color="000000"/>
              <w:left w:val="single" w:sz="8" w:space="0" w:color="000000"/>
              <w:bottom w:val="single" w:sz="8" w:space="0" w:color="000000"/>
              <w:right w:val="single" w:sz="8" w:space="0" w:color="000000"/>
            </w:tcBorders>
            <w:noWrap w:val="0"/>
            <w:vAlign w:val="top"/>
          </w:tcPr>
          <w:p>
            <w:pPr>
              <w:spacing w:line="360" w:lineRule="exact"/>
              <w:rPr>
                <w:rFonts w:ascii="宋体" w:eastAsia="宋体" w:hAnsi="宋体" w:cs="宋体"/>
                <w:szCs w:val="21"/>
              </w:rPr>
            </w:pPr>
            <w:r>
              <w:rPr>
                <w:rFonts w:hint="eastAsia"/>
                <w:lang w:eastAsia="zh-CN"/>
              </w:rPr>
              <w:t>投标人履约能力</w:t>
            </w:r>
          </w:p>
        </w:tc>
        <w:tc>
          <w:tcPr>
            <w:tcW w:w="918" w:type="dxa"/>
            <w:tcBorders>
              <w:top w:val="single" w:sz="8" w:space="0" w:color="000000"/>
              <w:left w:val="single" w:sz="8" w:space="0" w:color="000000"/>
              <w:bottom w:val="single" w:sz="8" w:space="0" w:color="000000"/>
              <w:right w:val="single" w:sz="8" w:space="0" w:color="000000"/>
            </w:tcBorders>
            <w:noWrap w:val="0"/>
            <w:vAlign w:val="top"/>
          </w:tcPr>
          <w:p>
            <w:pPr>
              <w:spacing w:line="360" w:lineRule="exact"/>
              <w:jc w:val="center"/>
              <w:rPr>
                <w:rFonts w:ascii="宋体" w:eastAsia="宋体" w:hAnsi="宋体" w:cs="宋体"/>
                <w:szCs w:val="21"/>
              </w:rPr>
            </w:pPr>
            <w:r>
              <w:rPr>
                <w:rFonts w:ascii="宋体" w:hAnsi="宋体" w:cs="宋体" w:hint="eastAsia"/>
                <w:szCs w:val="21"/>
                <w:lang w:val="en-US" w:eastAsia="zh-CN"/>
              </w:rPr>
              <w:t>20</w:t>
            </w:r>
          </w:p>
        </w:tc>
        <w:tc>
          <w:tcPr>
            <w:tcW w:w="4791" w:type="dxa"/>
            <w:tcBorders>
              <w:top w:val="single" w:sz="8" w:space="0" w:color="000000"/>
              <w:left w:val="single" w:sz="8" w:space="0" w:color="000000"/>
              <w:bottom w:val="single" w:sz="8" w:space="0" w:color="000000"/>
              <w:right w:val="single" w:sz="8" w:space="0" w:color="000000"/>
            </w:tcBorders>
            <w:noWrap w:val="0"/>
            <w:vAlign w:val="top"/>
          </w:tcPr>
          <w:p>
            <w:pPr>
              <w:numPr>
                <w:ilvl w:val="0"/>
                <w:numId w:val="0"/>
              </w:numPr>
              <w:spacing w:line="360" w:lineRule="exact"/>
              <w:rPr>
                <w:rFonts w:ascii="宋体" w:eastAsia="宋体" w:hAnsi="宋体" w:hint="eastAsia"/>
                <w:szCs w:val="21"/>
                <w:lang w:val="en-US" w:eastAsia="zh-CN"/>
              </w:rPr>
            </w:pPr>
            <w:r>
              <w:rPr>
                <w:rFonts w:ascii="宋体" w:eastAsia="宋体" w:hAnsi="宋体" w:hint="eastAsia"/>
                <w:szCs w:val="21"/>
                <w:lang w:val="en-US" w:eastAsia="zh-CN"/>
              </w:rPr>
              <w:t>（一）评分内容：</w:t>
            </w:r>
          </w:p>
          <w:p>
            <w:pPr>
              <w:numPr>
                <w:ilvl w:val="0"/>
                <w:numId w:val="0"/>
              </w:numPr>
              <w:spacing w:line="360" w:lineRule="exact"/>
              <w:rPr>
                <w:rFonts w:ascii="宋体" w:eastAsia="宋体" w:hAnsi="宋体" w:cs="宋体" w:hint="eastAsia"/>
                <w:szCs w:val="21"/>
                <w:lang w:val="en-US" w:eastAsia="zh-CN"/>
              </w:rPr>
            </w:pPr>
            <w:r>
              <w:rPr>
                <w:rFonts w:ascii="宋体" w:eastAsia="宋体" w:hAnsi="宋体" w:cs="宋体" w:hint="eastAsia"/>
                <w:szCs w:val="21"/>
                <w:lang w:val="en-US" w:eastAsia="zh-CN"/>
              </w:rPr>
              <w:t>1、投标人等级为三级医院，得30分；投标人等级为二级医院得20分，投标人等级为一级医院得10分，其他情况不得分，本项最高得30分；</w:t>
            </w:r>
          </w:p>
          <w:p>
            <w:pPr>
              <w:numPr>
                <w:ilvl w:val="0"/>
                <w:numId w:val="0"/>
              </w:numPr>
              <w:spacing w:line="360" w:lineRule="exact"/>
              <w:rPr>
                <w:rFonts w:ascii="宋体" w:eastAsia="宋体" w:hAnsi="宋体" w:cs="宋体" w:hint="eastAsia"/>
                <w:szCs w:val="21"/>
                <w:lang w:val="en-US" w:eastAsia="zh-CN"/>
              </w:rPr>
            </w:pPr>
            <w:r>
              <w:rPr>
                <w:rFonts w:ascii="宋体" w:eastAsia="宋体" w:hAnsi="宋体" w:cs="宋体" w:hint="eastAsia"/>
                <w:szCs w:val="21"/>
                <w:lang w:val="en-US" w:eastAsia="zh-CN"/>
              </w:rPr>
              <w:t>2、投标人具备急救所需的胸痛中心、脑卒中中心，每项得10分，本项累计最高得20分；</w:t>
            </w:r>
          </w:p>
          <w:p>
            <w:pPr>
              <w:numPr>
                <w:ilvl w:val="0"/>
                <w:numId w:val="0"/>
              </w:numPr>
              <w:spacing w:line="360" w:lineRule="exact"/>
              <w:rPr>
                <w:rFonts w:ascii="宋体" w:eastAsia="宋体" w:hAnsi="宋体" w:cs="宋体" w:hint="eastAsia"/>
                <w:szCs w:val="21"/>
                <w:lang w:val="en-US" w:eastAsia="zh-CN"/>
              </w:rPr>
            </w:pPr>
            <w:r>
              <w:rPr>
                <w:rFonts w:ascii="宋体" w:eastAsia="宋体" w:hAnsi="宋体" w:cs="宋体" w:hint="eastAsia"/>
                <w:szCs w:val="21"/>
                <w:lang w:val="en-US" w:eastAsia="zh-CN"/>
              </w:rPr>
              <w:t>3、投标人被纳入120急救医疗中心网络，得10分，本项最高得10分；</w:t>
            </w:r>
          </w:p>
          <w:p>
            <w:pPr>
              <w:numPr>
                <w:ilvl w:val="0"/>
                <w:numId w:val="0"/>
              </w:numPr>
              <w:spacing w:line="360" w:lineRule="exact"/>
              <w:rPr>
                <w:rFonts w:ascii="宋体" w:eastAsia="宋体" w:hAnsi="宋体" w:cs="宋体" w:hint="eastAsia"/>
                <w:b/>
                <w:bCs/>
                <w:szCs w:val="21"/>
                <w:highlight w:val="none"/>
                <w:u w:val="double"/>
                <w:lang w:val="en-US" w:eastAsia="zh-CN"/>
              </w:rPr>
            </w:pPr>
            <w:r>
              <w:rPr>
                <w:rFonts w:ascii="宋体" w:eastAsia="宋体" w:hAnsi="宋体" w:cs="宋体" w:hint="eastAsia"/>
                <w:b/>
                <w:bCs/>
                <w:szCs w:val="21"/>
                <w:highlight w:val="none"/>
                <w:u w:val="double"/>
                <w:lang w:val="en-US" w:eastAsia="zh-CN"/>
              </w:rPr>
              <w:t>4、投标人具有开展互联网诊疗</w:t>
            </w:r>
            <w:r>
              <w:rPr>
                <w:rFonts w:ascii="宋体" w:hAnsi="宋体" w:cs="宋体" w:hint="eastAsia"/>
                <w:b/>
                <w:bCs/>
                <w:szCs w:val="21"/>
                <w:highlight w:val="none"/>
                <w:u w:val="double"/>
                <w:lang w:val="en-US" w:eastAsia="zh-CN"/>
              </w:rPr>
              <w:t>能力</w:t>
            </w:r>
            <w:r>
              <w:rPr>
                <w:rFonts w:ascii="宋体" w:eastAsia="宋体" w:hAnsi="宋体" w:cs="宋体" w:hint="eastAsia"/>
                <w:b/>
                <w:bCs/>
                <w:szCs w:val="21"/>
                <w:highlight w:val="none"/>
                <w:u w:val="double"/>
                <w:lang w:val="en-US" w:eastAsia="zh-CN"/>
              </w:rPr>
              <w:t>，得20分，本项最高得20分；</w:t>
            </w:r>
          </w:p>
          <w:p>
            <w:pPr>
              <w:numPr>
                <w:ilvl w:val="0"/>
                <w:numId w:val="0"/>
              </w:numPr>
              <w:spacing w:line="360" w:lineRule="exact"/>
              <w:rPr>
                <w:rFonts w:ascii="宋体" w:eastAsia="宋体" w:hAnsi="宋体" w:cs="宋体" w:hint="eastAsia"/>
                <w:szCs w:val="21"/>
                <w:lang w:val="en-US" w:eastAsia="zh-CN"/>
              </w:rPr>
            </w:pPr>
            <w:r>
              <w:rPr>
                <w:rFonts w:ascii="宋体" w:eastAsia="宋体" w:hAnsi="宋体" w:cs="宋体" w:hint="eastAsia"/>
                <w:szCs w:val="21"/>
                <w:lang w:val="en-US" w:eastAsia="zh-CN"/>
              </w:rPr>
              <w:t>5、投标人具有全科医疗科、呼吸内科、神经内科、心血管内科、消化内科、内分泌科、神经外科、骨科、康复医学科、肿瘤科得20分，缺一项不得分，本项最高得20分。</w:t>
            </w:r>
          </w:p>
          <w:p>
            <w:pPr>
              <w:numPr>
                <w:ilvl w:val="0"/>
                <w:numId w:val="0"/>
              </w:numPr>
              <w:spacing w:line="360" w:lineRule="exact"/>
              <w:rPr>
                <w:rFonts w:ascii="宋体" w:eastAsia="宋体" w:hAnsi="宋体" w:cs="宋体" w:hint="default"/>
                <w:szCs w:val="21"/>
                <w:lang w:val="en-US" w:eastAsia="zh-CN"/>
              </w:rPr>
            </w:pPr>
            <w:r>
              <w:rPr>
                <w:rFonts w:ascii="宋体" w:eastAsia="宋体" w:hAnsi="宋体" w:cs="宋体" w:hint="eastAsia"/>
                <w:szCs w:val="21"/>
                <w:lang w:val="en-US" w:eastAsia="zh-CN"/>
              </w:rPr>
              <w:t>以上1-5项最高得100分。</w:t>
            </w:r>
          </w:p>
          <w:p>
            <w:pPr>
              <w:numPr>
                <w:ilvl w:val="0"/>
                <w:numId w:val="0"/>
              </w:numPr>
              <w:spacing w:line="360" w:lineRule="exact"/>
              <w:rPr>
                <w:rFonts w:ascii="宋体" w:eastAsia="宋体" w:hAnsi="宋体" w:cs="宋体" w:hint="eastAsia"/>
                <w:szCs w:val="21"/>
                <w:lang w:val="en-US" w:eastAsia="zh-CN"/>
              </w:rPr>
            </w:pPr>
            <w:r>
              <w:rPr>
                <w:rFonts w:ascii="宋体" w:eastAsia="宋体" w:hAnsi="宋体" w:cs="宋体" w:hint="eastAsia"/>
                <w:szCs w:val="21"/>
                <w:lang w:val="en-US" w:eastAsia="zh-CN"/>
              </w:rPr>
              <w:t>（一）评分依据：</w:t>
            </w:r>
          </w:p>
          <w:p>
            <w:pPr>
              <w:numPr>
                <w:ilvl w:val="0"/>
                <w:numId w:val="0"/>
              </w:numPr>
              <w:spacing w:line="360" w:lineRule="exact"/>
              <w:jc w:val="left"/>
              <w:rPr>
                <w:rFonts w:ascii="宋体" w:eastAsia="宋体" w:hAnsi="宋体" w:cs="宋体" w:hint="eastAsia"/>
                <w:szCs w:val="21"/>
                <w:lang w:val="en-US" w:eastAsia="zh-CN"/>
              </w:rPr>
            </w:pPr>
            <w:r>
              <w:rPr>
                <w:rFonts w:ascii="宋体" w:eastAsia="宋体" w:hAnsi="宋体" w:cs="宋体" w:hint="eastAsia"/>
                <w:szCs w:val="21"/>
                <w:lang w:val="en-US" w:eastAsia="zh-CN"/>
              </w:rPr>
              <w:t>1.</w:t>
            </w:r>
            <w:r>
              <w:rPr>
                <w:rFonts w:ascii="宋体" w:eastAsia="宋体" w:hAnsi="宋体" w:cs="宋体" w:hint="eastAsia"/>
                <w:b/>
                <w:bCs/>
                <w:szCs w:val="21"/>
                <w:u w:val="double"/>
                <w:lang w:val="en-US" w:eastAsia="zh-CN"/>
              </w:rPr>
              <w:t>评分内容第1、2、3</w:t>
            </w:r>
            <w:r>
              <w:rPr>
                <w:rFonts w:ascii="宋体" w:hAnsi="宋体" w:cs="宋体" w:hint="eastAsia"/>
                <w:b/>
                <w:bCs/>
                <w:szCs w:val="21"/>
                <w:u w:val="double"/>
                <w:lang w:val="en-US" w:eastAsia="zh-CN"/>
              </w:rPr>
              <w:t>、4</w:t>
            </w:r>
            <w:r>
              <w:rPr>
                <w:rFonts w:ascii="宋体" w:eastAsia="宋体" w:hAnsi="宋体" w:cs="宋体" w:hint="eastAsia"/>
                <w:b/>
                <w:bCs/>
                <w:szCs w:val="21"/>
                <w:u w:val="double"/>
                <w:lang w:val="en-US" w:eastAsia="zh-CN"/>
              </w:rPr>
              <w:t>项要求提供能体现以上得分要求的政府部门对外公示的截图或颁发的相关证明资料作为得分依据；</w:t>
            </w:r>
            <w:r>
              <w:rPr>
                <w:rFonts w:ascii="宋体" w:eastAsia="宋体" w:hAnsi="宋体" w:cs="宋体" w:hint="eastAsia"/>
                <w:szCs w:val="21"/>
                <w:lang w:val="en-US" w:eastAsia="zh-CN"/>
              </w:rPr>
              <w:t>评分内容第5项要求投标人提供在国家卫健委医疗机构查询（https://zgcx.nhc.gov.cn/unit）结果的截图。</w:t>
            </w:r>
          </w:p>
          <w:p>
            <w:pPr>
              <w:numPr>
                <w:ilvl w:val="0"/>
                <w:numId w:val="0"/>
              </w:numPr>
              <w:spacing w:line="360" w:lineRule="exact"/>
              <w:jc w:val="left"/>
              <w:rPr>
                <w:rFonts w:ascii="宋体" w:eastAsia="宋体" w:hAnsi="宋体" w:cs="宋体" w:hint="default"/>
                <w:szCs w:val="21"/>
                <w:lang w:val="en-US" w:eastAsia="zh-CN"/>
              </w:rPr>
            </w:pPr>
            <w:r>
              <w:rPr>
                <w:rFonts w:ascii="宋体" w:eastAsia="宋体" w:hAnsi="宋体" w:hint="eastAsia"/>
                <w:szCs w:val="21"/>
                <w:lang w:val="en-US" w:eastAsia="zh-CN"/>
              </w:rPr>
              <w:t>2.</w:t>
            </w:r>
            <w:r>
              <w:rPr>
                <w:rFonts w:ascii="宋体" w:eastAsia="宋体" w:hAnsi="宋体" w:hint="eastAsia"/>
                <w:szCs w:val="21"/>
              </w:rPr>
              <w:t>提供以上证明文件扫描件，如涉及网站截图或照片等证明材料,需提供清晰图片。未按要求提供有效证明材料或提供不清晰导致评委无法识别的不计得分。</w:t>
            </w:r>
          </w:p>
        </w:tc>
      </w:tr>
      <w:tr>
        <w:tblPrEx>
          <w:tblW w:w="9639" w:type="dxa"/>
          <w:jc w:val="center"/>
          <w:tblLayout w:type="fixed"/>
          <w:tblCellMar>
            <w:top w:w="20" w:type="dxa"/>
            <w:left w:w="108" w:type="dxa"/>
            <w:bottom w:w="20" w:type="dxa"/>
            <w:right w:w="108" w:type="dxa"/>
          </w:tblCellMar>
        </w:tblPrEx>
        <w:trPr>
          <w:jc w:val="center"/>
        </w:trPr>
        <w:tc>
          <w:tcPr>
            <w:tcW w:w="657" w:type="dxa"/>
            <w:vMerge/>
            <w:tcBorders>
              <w:left w:val="single" w:sz="8" w:space="0" w:color="000000"/>
              <w:right w:val="single" w:sz="8" w:space="0" w:color="000000"/>
            </w:tcBorders>
            <w:noWrap w:val="0"/>
            <w:vAlign w:val="center"/>
          </w:tcPr>
          <w:p>
            <w:pPr>
              <w:spacing w:line="360" w:lineRule="exact"/>
              <w:rPr>
                <w:rFonts w:ascii="宋体" w:eastAsia="宋体" w:hAnsi="宋体" w:cs="宋体"/>
                <w:b/>
                <w:bCs/>
                <w:color w:val="0000FF"/>
                <w:sz w:val="24"/>
                <w:szCs w:val="24"/>
              </w:rPr>
            </w:pPr>
          </w:p>
        </w:tc>
        <w:tc>
          <w:tcPr>
            <w:tcW w:w="657" w:type="dxa"/>
            <w:tcBorders>
              <w:top w:val="single" w:sz="8" w:space="0" w:color="000000"/>
              <w:left w:val="single" w:sz="8" w:space="0" w:color="000000"/>
              <w:bottom w:val="single" w:sz="8" w:space="0" w:color="000000"/>
              <w:right w:val="single" w:sz="8" w:space="0" w:color="000000"/>
            </w:tcBorders>
            <w:noWrap w:val="0"/>
            <w:vAlign w:val="top"/>
          </w:tcPr>
          <w:p>
            <w:pPr>
              <w:spacing w:line="360" w:lineRule="exact"/>
              <w:jc w:val="center"/>
              <w:rPr>
                <w:rFonts w:ascii="宋体" w:eastAsia="宋体" w:hAnsi="宋体" w:cs="宋体" w:hint="eastAsia"/>
                <w:szCs w:val="21"/>
                <w:lang w:eastAsia="zh-CN"/>
              </w:rPr>
            </w:pPr>
            <w:r>
              <w:rPr>
                <w:rFonts w:ascii="宋体" w:hAnsi="宋体" w:hint="eastAsia"/>
                <w:szCs w:val="21"/>
                <w:lang w:val="en-US" w:eastAsia="zh-CN"/>
              </w:rPr>
              <w:t>3</w:t>
            </w:r>
          </w:p>
        </w:tc>
        <w:tc>
          <w:tcPr>
            <w:tcW w:w="2616" w:type="dxa"/>
            <w:tcBorders>
              <w:top w:val="single" w:sz="8" w:space="0" w:color="000000"/>
              <w:left w:val="single" w:sz="8" w:space="0" w:color="000000"/>
              <w:bottom w:val="single" w:sz="8" w:space="0" w:color="000000"/>
              <w:right w:val="single" w:sz="8" w:space="0" w:color="000000"/>
            </w:tcBorders>
            <w:noWrap w:val="0"/>
            <w:vAlign w:val="top"/>
          </w:tcPr>
          <w:p>
            <w:pPr>
              <w:spacing w:line="360" w:lineRule="exact"/>
              <w:rPr>
                <w:rFonts w:ascii="宋体" w:eastAsia="宋体" w:hAnsi="宋体" w:cs="宋体"/>
                <w:szCs w:val="21"/>
              </w:rPr>
            </w:pPr>
            <w:r>
              <w:rPr>
                <w:rFonts w:ascii="宋体" w:eastAsia="宋体" w:hAnsi="宋体" w:cs="宋体" w:hint="eastAsia"/>
                <w:szCs w:val="21"/>
              </w:rPr>
              <w:t>精神科医师技术支持能力</w:t>
            </w:r>
          </w:p>
        </w:tc>
        <w:tc>
          <w:tcPr>
            <w:tcW w:w="918" w:type="dxa"/>
            <w:tcBorders>
              <w:top w:val="single" w:sz="8" w:space="0" w:color="000000"/>
              <w:left w:val="single" w:sz="8" w:space="0" w:color="000000"/>
              <w:bottom w:val="single" w:sz="8" w:space="0" w:color="000000"/>
              <w:right w:val="single" w:sz="8" w:space="0" w:color="000000"/>
            </w:tcBorders>
            <w:noWrap w:val="0"/>
            <w:vAlign w:val="top"/>
          </w:tcPr>
          <w:p>
            <w:pPr>
              <w:spacing w:line="360" w:lineRule="exact"/>
              <w:jc w:val="center"/>
              <w:rPr>
                <w:rFonts w:ascii="宋体" w:eastAsia="宋体" w:hAnsi="宋体" w:cs="宋体" w:hint="default"/>
                <w:szCs w:val="21"/>
                <w:lang w:val="en-US" w:eastAsia="zh-CN"/>
              </w:rPr>
            </w:pPr>
            <w:r>
              <w:rPr>
                <w:rFonts w:ascii="宋体" w:hAnsi="宋体" w:hint="eastAsia"/>
                <w:b/>
                <w:bCs/>
                <w:szCs w:val="21"/>
                <w:u w:val="double"/>
                <w:lang w:val="en-US" w:eastAsia="zh-CN"/>
              </w:rPr>
              <w:t>10</w:t>
            </w:r>
          </w:p>
        </w:tc>
        <w:tc>
          <w:tcPr>
            <w:tcW w:w="4791" w:type="dxa"/>
            <w:tcBorders>
              <w:top w:val="single" w:sz="8" w:space="0" w:color="000000"/>
              <w:left w:val="single" w:sz="8" w:space="0" w:color="000000"/>
              <w:bottom w:val="single" w:sz="8" w:space="0" w:color="000000"/>
              <w:right w:val="single" w:sz="8" w:space="0" w:color="000000"/>
            </w:tcBorders>
            <w:noWrap w:val="0"/>
            <w:vAlign w:val="top"/>
          </w:tcPr>
          <w:p>
            <w:pPr>
              <w:spacing w:line="360" w:lineRule="exact"/>
              <w:rPr>
                <w:rFonts w:ascii="宋体" w:eastAsia="宋体" w:hAnsi="宋体" w:hint="eastAsia"/>
                <w:szCs w:val="21"/>
              </w:rPr>
            </w:pPr>
            <w:r>
              <w:rPr>
                <w:rFonts w:ascii="宋体" w:eastAsia="宋体" w:hAnsi="宋体" w:hint="eastAsia"/>
                <w:szCs w:val="21"/>
              </w:rPr>
              <w:t>（一）评分内容：</w:t>
            </w:r>
          </w:p>
          <w:p>
            <w:pPr>
              <w:spacing w:line="360" w:lineRule="exact"/>
              <w:rPr>
                <w:rFonts w:ascii="宋体" w:eastAsia="宋体" w:hAnsi="宋体" w:hint="eastAsia"/>
                <w:szCs w:val="21"/>
              </w:rPr>
            </w:pPr>
            <w:r>
              <w:rPr>
                <w:rFonts w:ascii="宋体" w:hAnsi="宋体" w:hint="eastAsia"/>
                <w:szCs w:val="21"/>
                <w:lang w:eastAsia="zh-CN"/>
              </w:rPr>
              <w:t>根据采购需求</w:t>
            </w:r>
            <w:r>
              <w:rPr>
                <w:rFonts w:ascii="宋体" w:hAnsi="宋体" w:hint="eastAsia"/>
                <w:szCs w:val="21"/>
                <w:lang w:val="en-US" w:eastAsia="zh-CN"/>
              </w:rPr>
              <w:t>投标人需</w:t>
            </w:r>
            <w:r>
              <w:rPr>
                <w:rFonts w:ascii="宋体" w:eastAsia="宋体" w:hAnsi="宋体" w:hint="eastAsia"/>
                <w:szCs w:val="21"/>
              </w:rPr>
              <w:t>拟安排精神科</w:t>
            </w:r>
            <w:r>
              <w:rPr>
                <w:rFonts w:ascii="宋体" w:eastAsia="宋体" w:hAnsi="宋体" w:hint="eastAsia"/>
                <w:szCs w:val="21"/>
                <w:lang w:val="en-US" w:eastAsia="zh-CN"/>
              </w:rPr>
              <w:t>医生每周到所进行会诊，会诊医生</w:t>
            </w:r>
            <w:r>
              <w:rPr>
                <w:rFonts w:ascii="宋体" w:eastAsia="宋体" w:hAnsi="宋体" w:hint="eastAsia"/>
                <w:szCs w:val="21"/>
              </w:rPr>
              <w:t>需为投标人自有员工，否则本项不得分。</w:t>
            </w:r>
          </w:p>
          <w:p>
            <w:pPr>
              <w:spacing w:line="360" w:lineRule="exact"/>
              <w:rPr>
                <w:rFonts w:ascii="宋体" w:eastAsia="宋体" w:hAnsi="宋体" w:hint="default"/>
                <w:szCs w:val="21"/>
                <w:lang w:val="en-US" w:eastAsia="zh-CN"/>
              </w:rPr>
            </w:pPr>
            <w:r>
              <w:rPr>
                <w:rFonts w:ascii="宋体" w:eastAsia="宋体" w:hAnsi="宋体" w:hint="eastAsia"/>
                <w:szCs w:val="21"/>
              </w:rPr>
              <w:t>在此基础上：具有</w:t>
            </w:r>
            <w:r>
              <w:rPr>
                <w:rFonts w:ascii="宋体" w:eastAsia="宋体" w:hAnsi="宋体" w:hint="eastAsia"/>
                <w:szCs w:val="21"/>
                <w:lang w:eastAsia="zh-CN"/>
              </w:rPr>
              <w:t>精神学科相关专业</w:t>
            </w:r>
            <w:r>
              <w:rPr>
                <w:rFonts w:ascii="宋体" w:eastAsia="宋体" w:hAnsi="宋体" w:hint="eastAsia"/>
                <w:szCs w:val="21"/>
              </w:rPr>
              <w:t>正高级职称</w:t>
            </w:r>
            <w:r>
              <w:rPr>
                <w:rFonts w:ascii="宋体" w:eastAsia="宋体" w:hAnsi="宋体" w:hint="eastAsia"/>
                <w:szCs w:val="21"/>
                <w:lang w:val="en-US" w:eastAsia="zh-CN"/>
              </w:rPr>
              <w:t>的，每提供1人得100分</w:t>
            </w:r>
            <w:r>
              <w:rPr>
                <w:rFonts w:ascii="宋体" w:eastAsia="宋体" w:hAnsi="宋体" w:hint="eastAsia"/>
                <w:szCs w:val="21"/>
              </w:rPr>
              <w:t>；具有</w:t>
            </w:r>
            <w:r>
              <w:rPr>
                <w:rFonts w:ascii="宋体" w:eastAsia="宋体" w:hAnsi="宋体" w:hint="eastAsia"/>
                <w:szCs w:val="21"/>
                <w:lang w:eastAsia="zh-CN"/>
              </w:rPr>
              <w:t>精神学科</w:t>
            </w:r>
            <w:r>
              <w:rPr>
                <w:rFonts w:ascii="宋体" w:eastAsia="宋体" w:hAnsi="宋体" w:hint="eastAsia"/>
                <w:szCs w:val="21"/>
                <w:lang w:val="en-US" w:eastAsia="zh-CN"/>
              </w:rPr>
              <w:t>专业相关</w:t>
            </w:r>
            <w:r>
              <w:rPr>
                <w:rFonts w:ascii="宋体" w:eastAsia="宋体" w:hAnsi="宋体" w:hint="eastAsia"/>
                <w:szCs w:val="21"/>
              </w:rPr>
              <w:t>副高级职称</w:t>
            </w:r>
            <w:r>
              <w:rPr>
                <w:rFonts w:ascii="宋体" w:eastAsia="宋体" w:hAnsi="宋体" w:hint="eastAsia"/>
                <w:szCs w:val="21"/>
                <w:lang w:val="en-US" w:eastAsia="zh-CN"/>
              </w:rPr>
              <w:t>的，每提供1人得65分</w:t>
            </w:r>
            <w:r>
              <w:rPr>
                <w:rFonts w:ascii="宋体" w:eastAsia="宋体" w:hAnsi="宋体" w:hint="eastAsia"/>
                <w:szCs w:val="21"/>
              </w:rPr>
              <w:t>；具有</w:t>
            </w:r>
            <w:r>
              <w:rPr>
                <w:rFonts w:ascii="宋体" w:eastAsia="宋体" w:hAnsi="宋体" w:hint="eastAsia"/>
                <w:szCs w:val="21"/>
                <w:lang w:eastAsia="zh-CN"/>
              </w:rPr>
              <w:t>精神学科</w:t>
            </w:r>
            <w:r>
              <w:rPr>
                <w:rFonts w:ascii="宋体" w:eastAsia="宋体" w:hAnsi="宋体" w:hint="eastAsia"/>
                <w:szCs w:val="21"/>
                <w:lang w:val="en-US" w:eastAsia="zh-CN"/>
              </w:rPr>
              <w:t>专业相关中级</w:t>
            </w:r>
            <w:r>
              <w:rPr>
                <w:rFonts w:ascii="宋体" w:eastAsia="宋体" w:hAnsi="宋体" w:hint="eastAsia"/>
                <w:szCs w:val="21"/>
              </w:rPr>
              <w:t>职称</w:t>
            </w:r>
            <w:r>
              <w:rPr>
                <w:rFonts w:ascii="宋体" w:eastAsia="宋体" w:hAnsi="宋体" w:hint="eastAsia"/>
                <w:szCs w:val="21"/>
                <w:lang w:val="en-US" w:eastAsia="zh-CN"/>
              </w:rPr>
              <w:t>的，每提供1人得35分</w:t>
            </w:r>
            <w:r>
              <w:rPr>
                <w:rFonts w:ascii="宋体" w:eastAsia="宋体" w:hAnsi="宋体" w:hint="eastAsia"/>
                <w:szCs w:val="21"/>
              </w:rPr>
              <w:t>；</w:t>
            </w:r>
            <w:r>
              <w:rPr>
                <w:rFonts w:ascii="宋体" w:eastAsia="宋体" w:hAnsi="宋体" w:hint="eastAsia"/>
                <w:szCs w:val="21"/>
                <w:lang w:val="en-US" w:eastAsia="zh-CN"/>
              </w:rPr>
              <w:t>其他情况不得分。以上累计最高得100分。</w:t>
            </w:r>
          </w:p>
          <w:p>
            <w:pPr>
              <w:spacing w:line="360" w:lineRule="exact"/>
              <w:rPr>
                <w:rFonts w:ascii="宋体" w:eastAsia="宋体" w:hAnsi="宋体" w:hint="eastAsia"/>
                <w:szCs w:val="21"/>
              </w:rPr>
            </w:pPr>
            <w:r>
              <w:rPr>
                <w:rFonts w:ascii="宋体" w:eastAsia="宋体" w:hAnsi="宋体" w:hint="eastAsia"/>
                <w:szCs w:val="21"/>
              </w:rPr>
              <w:t>（二）评分依据：</w:t>
            </w:r>
          </w:p>
          <w:p>
            <w:pPr>
              <w:spacing w:line="360" w:lineRule="exact"/>
              <w:rPr>
                <w:rFonts w:ascii="宋体" w:eastAsia="宋体" w:hAnsi="宋体" w:hint="eastAsia"/>
                <w:szCs w:val="21"/>
              </w:rPr>
            </w:pPr>
            <w:r>
              <w:rPr>
                <w:rFonts w:ascii="宋体" w:eastAsia="宋体" w:hAnsi="宋体" w:hint="eastAsia"/>
                <w:szCs w:val="21"/>
              </w:rPr>
              <w:t>1.提供精神科</w:t>
            </w:r>
            <w:r>
              <w:rPr>
                <w:rFonts w:ascii="宋体" w:eastAsia="宋体" w:hAnsi="宋体" w:hint="eastAsia"/>
                <w:szCs w:val="21"/>
                <w:lang w:val="en-US" w:eastAsia="zh-CN"/>
              </w:rPr>
              <w:t>医师</w:t>
            </w:r>
            <w:r>
              <w:rPr>
                <w:rFonts w:ascii="宋体" w:eastAsia="宋体" w:hAnsi="宋体" w:hint="eastAsia"/>
                <w:szCs w:val="21"/>
              </w:rPr>
              <w:t>通过投标单位缴纳的载有社保部门或税务部门公章的近三个月（含</w:t>
            </w:r>
            <w:r>
              <w:rPr>
                <w:rFonts w:ascii="宋体" w:eastAsia="宋体" w:hAnsi="宋体" w:hint="eastAsia"/>
                <w:szCs w:val="21"/>
                <w:lang w:eastAsia="zh-CN"/>
              </w:rPr>
              <w:t>投</w:t>
            </w:r>
            <w:r>
              <w:rPr>
                <w:rFonts w:ascii="宋体" w:eastAsia="宋体" w:hAnsi="宋体" w:hint="eastAsia"/>
                <w:szCs w:val="21"/>
              </w:rPr>
              <w:t>标当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pPr>
              <w:spacing w:line="360" w:lineRule="exact"/>
              <w:rPr>
                <w:rFonts w:ascii="宋体" w:eastAsia="宋体" w:hAnsi="宋体" w:hint="eastAsia"/>
                <w:szCs w:val="21"/>
              </w:rPr>
            </w:pPr>
            <w:r>
              <w:rPr>
                <w:rFonts w:ascii="宋体" w:eastAsia="宋体" w:hAnsi="宋体" w:hint="eastAsia"/>
                <w:szCs w:val="21"/>
              </w:rPr>
              <w:t>2.提供上述</w:t>
            </w:r>
            <w:r>
              <w:rPr>
                <w:rFonts w:ascii="宋体" w:eastAsia="宋体" w:hAnsi="宋体" w:hint="eastAsia"/>
                <w:szCs w:val="21"/>
                <w:lang w:val="en-US" w:eastAsia="zh-CN"/>
              </w:rPr>
              <w:t>人员</w:t>
            </w:r>
            <w:r>
              <w:rPr>
                <w:rFonts w:ascii="宋体" w:eastAsia="宋体" w:hAnsi="宋体" w:hint="eastAsia"/>
                <w:szCs w:val="21"/>
              </w:rPr>
              <w:t xml:space="preserve">职称证书； </w:t>
            </w:r>
          </w:p>
          <w:p>
            <w:pPr>
              <w:spacing w:line="360" w:lineRule="exact"/>
            </w:pPr>
            <w:r>
              <w:rPr>
                <w:rFonts w:ascii="宋体" w:eastAsia="宋体" w:hAnsi="宋体" w:hint="eastAsia"/>
                <w:szCs w:val="21"/>
              </w:rPr>
              <w:t>3.提供以上证明文件扫描件，如涉及网站截图或照片等证明材料,需提供清晰图片。未按要求提供有效证明材料或提供不清晰导致评委无法识别的不计得分。</w:t>
            </w:r>
          </w:p>
        </w:tc>
      </w:tr>
      <w:tr>
        <w:tblPrEx>
          <w:tblW w:w="9639" w:type="dxa"/>
          <w:jc w:val="center"/>
          <w:tblLayout w:type="fixed"/>
          <w:tblCellMar>
            <w:top w:w="20" w:type="dxa"/>
            <w:left w:w="108" w:type="dxa"/>
            <w:bottom w:w="20" w:type="dxa"/>
            <w:right w:w="108" w:type="dxa"/>
          </w:tblCellMar>
        </w:tblPrEx>
        <w:trPr>
          <w:jc w:val="center"/>
        </w:trPr>
        <w:tc>
          <w:tcPr>
            <w:tcW w:w="657" w:type="dxa"/>
            <w:vMerge w:val="restart"/>
            <w:tcBorders>
              <w:top w:val="single" w:sz="8" w:space="0" w:color="000000"/>
              <w:left w:val="single" w:sz="8" w:space="0" w:color="000000"/>
              <w:right w:val="single" w:sz="8" w:space="0" w:color="000000"/>
            </w:tcBorders>
            <w:noWrap w:val="0"/>
            <w:vAlign w:val="top"/>
          </w:tcPr>
          <w:p>
            <w:pPr>
              <w:spacing w:line="360" w:lineRule="exact"/>
              <w:jc w:val="center"/>
              <w:rPr>
                <w:rFonts w:ascii="宋体" w:eastAsia="宋体" w:hAnsi="宋体" w:cs="宋体"/>
                <w:b/>
                <w:bCs/>
                <w:color w:val="0000FF"/>
                <w:sz w:val="24"/>
                <w:szCs w:val="24"/>
              </w:rPr>
            </w:pPr>
            <w:r>
              <w:rPr>
                <w:rFonts w:ascii="宋体" w:eastAsia="宋体" w:hAnsi="宋体" w:hint="eastAsia"/>
                <w:b/>
                <w:bCs/>
                <w:color w:val="0000FF"/>
              </w:rPr>
              <w:t>4</w:t>
            </w:r>
          </w:p>
        </w:tc>
        <w:tc>
          <w:tcPr>
            <w:tcW w:w="4191" w:type="dxa"/>
            <w:gridSpan w:val="3"/>
            <w:tcBorders>
              <w:top w:val="single" w:sz="8" w:space="0" w:color="000000"/>
              <w:left w:val="single" w:sz="8" w:space="0" w:color="000000"/>
              <w:bottom w:val="single" w:sz="8" w:space="0" w:color="000000"/>
              <w:right w:val="single" w:sz="8" w:space="0" w:color="000000"/>
            </w:tcBorders>
            <w:noWrap w:val="0"/>
            <w:vAlign w:val="top"/>
          </w:tcPr>
          <w:p>
            <w:pPr>
              <w:spacing w:line="360" w:lineRule="exact"/>
              <w:jc w:val="center"/>
              <w:rPr>
                <w:rFonts w:ascii="宋体" w:eastAsia="宋体" w:hAnsi="宋体" w:cs="宋体"/>
                <w:b/>
                <w:bCs/>
                <w:color w:val="0000FF"/>
                <w:sz w:val="24"/>
                <w:szCs w:val="24"/>
              </w:rPr>
            </w:pPr>
            <w:r>
              <w:rPr>
                <w:rFonts w:ascii="宋体" w:eastAsia="宋体" w:hAnsi="宋体" w:hint="eastAsia"/>
                <w:b/>
                <w:bCs/>
                <w:color w:val="0000FF"/>
              </w:rPr>
              <w:t>其他</w:t>
            </w:r>
          </w:p>
        </w:tc>
        <w:tc>
          <w:tcPr>
            <w:tcW w:w="4791" w:type="dxa"/>
            <w:tcBorders>
              <w:top w:val="single" w:sz="8" w:space="0" w:color="000000"/>
              <w:left w:val="single" w:sz="8" w:space="0" w:color="000000"/>
              <w:bottom w:val="single" w:sz="8" w:space="0" w:color="000000"/>
              <w:right w:val="single" w:sz="8" w:space="0" w:color="000000"/>
            </w:tcBorders>
            <w:noWrap w:val="0"/>
            <w:vAlign w:val="top"/>
          </w:tcPr>
          <w:p>
            <w:pPr>
              <w:spacing w:line="360" w:lineRule="exact"/>
              <w:jc w:val="center"/>
              <w:rPr>
                <w:rFonts w:ascii="宋体" w:eastAsia="宋体" w:hAnsi="宋体" w:cs="宋体"/>
                <w:b/>
                <w:bCs/>
                <w:color w:val="0000FF"/>
                <w:sz w:val="24"/>
                <w:szCs w:val="24"/>
              </w:rPr>
            </w:pPr>
            <w:r>
              <w:rPr>
                <w:rFonts w:ascii="宋体" w:eastAsia="宋体" w:hAnsi="宋体" w:hint="eastAsia"/>
                <w:b/>
                <w:bCs/>
                <w:color w:val="0000FF"/>
              </w:rPr>
              <w:t>5</w:t>
            </w:r>
          </w:p>
        </w:tc>
      </w:tr>
      <w:tr>
        <w:tblPrEx>
          <w:tblW w:w="9639" w:type="dxa"/>
          <w:jc w:val="center"/>
          <w:tblLayout w:type="fixed"/>
          <w:tblCellMar>
            <w:top w:w="20" w:type="dxa"/>
            <w:left w:w="108" w:type="dxa"/>
            <w:bottom w:w="20" w:type="dxa"/>
            <w:right w:w="108" w:type="dxa"/>
          </w:tblCellMar>
        </w:tblPrEx>
        <w:trPr>
          <w:jc w:val="center"/>
        </w:trPr>
        <w:tc>
          <w:tcPr>
            <w:tcW w:w="657" w:type="dxa"/>
            <w:vMerge/>
            <w:tcBorders>
              <w:left w:val="single" w:sz="8" w:space="0" w:color="000000"/>
              <w:right w:val="single" w:sz="8" w:space="0" w:color="000000"/>
            </w:tcBorders>
            <w:shd w:val="clear" w:color="auto" w:fill="auto"/>
            <w:noWrap w:val="0"/>
            <w:vAlign w:val="center"/>
          </w:tcPr>
          <w:p>
            <w:pPr>
              <w:spacing w:line="360" w:lineRule="exact"/>
              <w:rPr>
                <w:rFonts w:ascii="宋体" w:eastAsia="宋体" w:hAnsi="宋体" w:cs="宋体"/>
                <w:b/>
                <w:bCs/>
                <w:color w:val="0000FF"/>
                <w:sz w:val="24"/>
                <w:szCs w:val="24"/>
              </w:rPr>
            </w:pPr>
          </w:p>
        </w:tc>
        <w:tc>
          <w:tcPr>
            <w:tcW w:w="657"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spacing w:line="360" w:lineRule="exact"/>
              <w:jc w:val="center"/>
              <w:rPr>
                <w:rFonts w:ascii="宋体" w:eastAsia="宋体" w:hAnsi="宋体" w:cs="宋体"/>
                <w:szCs w:val="21"/>
              </w:rPr>
            </w:pPr>
            <w:r>
              <w:rPr>
                <w:rFonts w:ascii="宋体" w:eastAsia="宋体" w:hAnsi="宋体"/>
                <w:szCs w:val="21"/>
              </w:rPr>
              <w:t>序号</w:t>
            </w:r>
          </w:p>
        </w:tc>
        <w:tc>
          <w:tcPr>
            <w:tcW w:w="2616"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spacing w:line="360" w:lineRule="exact"/>
              <w:jc w:val="center"/>
              <w:rPr>
                <w:rFonts w:ascii="宋体" w:eastAsia="宋体" w:hAnsi="宋体" w:cs="宋体"/>
                <w:szCs w:val="21"/>
              </w:rPr>
            </w:pPr>
            <w:r>
              <w:rPr>
                <w:rFonts w:ascii="宋体" w:eastAsia="宋体" w:hAnsi="宋体"/>
                <w:szCs w:val="21"/>
              </w:rPr>
              <w:t>评分因素</w:t>
            </w:r>
          </w:p>
        </w:tc>
        <w:tc>
          <w:tcPr>
            <w:tcW w:w="918"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spacing w:line="360" w:lineRule="exact"/>
              <w:jc w:val="center"/>
              <w:rPr>
                <w:rFonts w:ascii="宋体" w:eastAsia="宋体" w:hAnsi="宋体" w:cs="宋体"/>
                <w:szCs w:val="21"/>
              </w:rPr>
            </w:pPr>
            <w:r>
              <w:rPr>
                <w:rFonts w:ascii="宋体" w:eastAsia="宋体" w:hAnsi="宋体"/>
                <w:szCs w:val="21"/>
              </w:rPr>
              <w:t>权重(%)</w:t>
            </w:r>
          </w:p>
        </w:tc>
        <w:tc>
          <w:tcPr>
            <w:tcW w:w="4791"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spacing w:line="360" w:lineRule="exact"/>
              <w:jc w:val="center"/>
              <w:rPr>
                <w:rFonts w:ascii="宋体" w:eastAsia="宋体" w:hAnsi="宋体" w:cs="宋体"/>
                <w:szCs w:val="21"/>
              </w:rPr>
            </w:pPr>
            <w:r>
              <w:rPr>
                <w:rFonts w:ascii="宋体" w:eastAsia="宋体" w:hAnsi="宋体"/>
                <w:szCs w:val="21"/>
              </w:rPr>
              <w:t>评分准则</w:t>
            </w:r>
          </w:p>
        </w:tc>
      </w:tr>
      <w:tr>
        <w:tblPrEx>
          <w:tblW w:w="9639" w:type="dxa"/>
          <w:jc w:val="center"/>
          <w:tblLayout w:type="fixed"/>
          <w:tblCellMar>
            <w:top w:w="20" w:type="dxa"/>
            <w:left w:w="108" w:type="dxa"/>
            <w:bottom w:w="20" w:type="dxa"/>
            <w:right w:w="108" w:type="dxa"/>
          </w:tblCellMar>
        </w:tblPrEx>
        <w:trPr>
          <w:jc w:val="center"/>
        </w:trPr>
        <w:tc>
          <w:tcPr>
            <w:tcW w:w="657" w:type="dxa"/>
            <w:vMerge/>
            <w:tcBorders>
              <w:left w:val="single" w:sz="8" w:space="0" w:color="000000"/>
              <w:right w:val="single" w:sz="8" w:space="0" w:color="000000"/>
            </w:tcBorders>
            <w:noWrap w:val="0"/>
            <w:vAlign w:val="center"/>
          </w:tcPr>
          <w:p>
            <w:pPr>
              <w:spacing w:line="360" w:lineRule="exact"/>
              <w:rPr>
                <w:rFonts w:ascii="宋体" w:eastAsia="宋体" w:hAnsi="宋体" w:cs="宋体"/>
                <w:b/>
                <w:bCs/>
                <w:color w:val="0000FF"/>
                <w:sz w:val="24"/>
                <w:szCs w:val="24"/>
              </w:rPr>
            </w:pPr>
          </w:p>
        </w:tc>
        <w:tc>
          <w:tcPr>
            <w:tcW w:w="657" w:type="dxa"/>
            <w:tcBorders>
              <w:top w:val="single" w:sz="8" w:space="0" w:color="000000"/>
              <w:left w:val="single" w:sz="8" w:space="0" w:color="000000"/>
              <w:bottom w:val="single" w:sz="8" w:space="0" w:color="000000"/>
              <w:right w:val="single" w:sz="8" w:space="0" w:color="000000"/>
            </w:tcBorders>
            <w:noWrap w:val="0"/>
            <w:vAlign w:val="top"/>
          </w:tcPr>
          <w:p>
            <w:pPr>
              <w:spacing w:line="360" w:lineRule="exact"/>
              <w:jc w:val="center"/>
              <w:rPr>
                <w:rFonts w:ascii="宋体" w:eastAsia="宋体" w:hAnsi="宋体" w:cs="宋体"/>
                <w:szCs w:val="21"/>
              </w:rPr>
            </w:pPr>
            <w:r>
              <w:rPr>
                <w:rFonts w:ascii="宋体" w:eastAsia="宋体" w:hAnsi="宋体" w:hint="eastAsia"/>
                <w:szCs w:val="21"/>
              </w:rPr>
              <w:t>1</w:t>
            </w:r>
          </w:p>
        </w:tc>
        <w:tc>
          <w:tcPr>
            <w:tcW w:w="2616" w:type="dxa"/>
            <w:tcBorders>
              <w:top w:val="single" w:sz="8" w:space="0" w:color="000000"/>
              <w:left w:val="single" w:sz="8" w:space="0" w:color="000000"/>
              <w:bottom w:val="single" w:sz="8" w:space="0" w:color="000000"/>
              <w:right w:val="single" w:sz="8" w:space="0" w:color="000000"/>
            </w:tcBorders>
            <w:noWrap w:val="0"/>
            <w:vAlign w:val="top"/>
          </w:tcPr>
          <w:p>
            <w:pPr>
              <w:spacing w:line="360" w:lineRule="exact"/>
              <w:rPr>
                <w:rFonts w:ascii="宋体" w:eastAsia="宋体" w:hAnsi="宋体" w:cs="宋体"/>
                <w:szCs w:val="21"/>
              </w:rPr>
            </w:pPr>
            <w:r>
              <w:rPr>
                <w:rFonts w:ascii="宋体" w:eastAsia="宋体" w:hAnsi="宋体"/>
                <w:szCs w:val="21"/>
              </w:rPr>
              <w:t>诚信</w:t>
            </w:r>
            <w:r>
              <w:rPr>
                <w:rFonts w:ascii="宋体" w:eastAsia="宋体" w:hAnsi="宋体" w:hint="eastAsia"/>
                <w:szCs w:val="21"/>
              </w:rPr>
              <w:t>评审</w:t>
            </w:r>
          </w:p>
        </w:tc>
        <w:tc>
          <w:tcPr>
            <w:tcW w:w="918" w:type="dxa"/>
            <w:tcBorders>
              <w:top w:val="single" w:sz="8" w:space="0" w:color="000000"/>
              <w:left w:val="single" w:sz="8" w:space="0" w:color="000000"/>
              <w:bottom w:val="single" w:sz="8" w:space="0" w:color="000000"/>
              <w:right w:val="single" w:sz="8" w:space="0" w:color="000000"/>
            </w:tcBorders>
            <w:noWrap w:val="0"/>
            <w:vAlign w:val="top"/>
          </w:tcPr>
          <w:p>
            <w:pPr>
              <w:spacing w:line="360" w:lineRule="exact"/>
              <w:jc w:val="center"/>
              <w:rPr>
                <w:rFonts w:ascii="宋体" w:eastAsia="宋体" w:hAnsi="宋体" w:cs="宋体"/>
                <w:szCs w:val="21"/>
              </w:rPr>
            </w:pPr>
            <w:r>
              <w:rPr>
                <w:rFonts w:ascii="宋体" w:eastAsia="宋体" w:hAnsi="宋体"/>
                <w:szCs w:val="21"/>
              </w:rPr>
              <w:t>5</w:t>
            </w:r>
          </w:p>
        </w:tc>
        <w:tc>
          <w:tcPr>
            <w:tcW w:w="4791" w:type="dxa"/>
            <w:tcBorders>
              <w:top w:val="single" w:sz="8" w:space="0" w:color="000000"/>
              <w:left w:val="single" w:sz="8" w:space="0" w:color="000000"/>
              <w:bottom w:val="single" w:sz="8" w:space="0" w:color="000000"/>
              <w:right w:val="single" w:sz="8" w:space="0" w:color="000000"/>
            </w:tcBorders>
            <w:noWrap w:val="0"/>
            <w:vAlign w:val="top"/>
          </w:tcPr>
          <w:p>
            <w:pPr>
              <w:spacing w:line="360" w:lineRule="exact"/>
              <w:rPr>
                <w:rFonts w:ascii="宋体" w:eastAsia="宋体" w:hAnsi="宋体"/>
                <w:szCs w:val="21"/>
              </w:rPr>
            </w:pPr>
            <w:r>
              <w:rPr>
                <w:rFonts w:ascii="宋体" w:eastAsia="宋体" w:hAnsi="宋体" w:hint="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100分。</w:t>
            </w:r>
          </w:p>
          <w:p>
            <w:pPr>
              <w:spacing w:line="360" w:lineRule="exact"/>
              <w:rPr>
                <w:rFonts w:ascii="宋体" w:eastAsia="宋体" w:hAnsi="宋体" w:cs="宋体"/>
                <w:szCs w:val="21"/>
              </w:rPr>
            </w:pPr>
            <w:r>
              <w:rPr>
                <w:rFonts w:ascii="宋体" w:eastAsia="宋体" w:hAnsi="宋体" w:hint="eastAsia"/>
                <w:szCs w:val="21"/>
              </w:rPr>
              <w:t>（采购代理机构通过“信用中国”、“中国政府采购网”、“深圳市政府采购监管网”以及市、区财政部门认定的其他渠道查询供应商信用信息，投标人无需提供证明材料。）</w:t>
            </w:r>
          </w:p>
        </w:tc>
      </w:tr>
    </w:tbl>
    <w:p/>
    <w:p>
      <w:pPr>
        <w:widowControl/>
        <w:jc w:val="left"/>
        <w:rPr>
          <w:rFonts w:ascii="宋体" w:eastAsia="宋体" w:hAnsi="宋体"/>
          <w:b/>
          <w:bCs/>
          <w:kern w:val="44"/>
          <w:sz w:val="28"/>
          <w:szCs w:val="44"/>
        </w:rPr>
      </w:pPr>
    </w:p>
    <w:p>
      <w:pPr>
        <w:pStyle w:val="Heading1"/>
        <w:spacing w:before="0" w:after="0"/>
        <w:rPr>
          <w:rFonts w:ascii="宋体" w:eastAsia="宋体" w:hAnsi="宋体"/>
        </w:rPr>
      </w:pPr>
      <w:r>
        <w:rPr>
          <w:rFonts w:ascii="宋体" w:eastAsia="宋体" w:hAnsi="宋体" w:hint="eastAsia"/>
        </w:rPr>
        <w:br w:type="page"/>
      </w:r>
      <w:r>
        <w:rPr>
          <w:rFonts w:ascii="宋体" w:eastAsia="宋体" w:hAnsi="宋体" w:hint="eastAsia"/>
        </w:rPr>
        <w:t>其它关键信息</w:t>
      </w:r>
    </w:p>
    <w:p>
      <w:pPr>
        <w:spacing w:line="360" w:lineRule="auto"/>
        <w:ind w:firstLine="412" w:firstLineChars="196"/>
        <w:rPr>
          <w:rFonts w:ascii="宋体" w:hAnsi="宋体"/>
          <w:szCs w:val="21"/>
        </w:rPr>
      </w:pPr>
      <w:r>
        <w:rPr>
          <w:rFonts w:ascii="宋体" w:hAnsi="宋体" w:hint="eastAsia"/>
          <w:b/>
          <w:szCs w:val="21"/>
        </w:rPr>
        <w:t>一</w:t>
      </w:r>
      <w:r>
        <w:rPr>
          <w:rFonts w:ascii="宋体" w:eastAsia="宋体" w:hAnsi="宋体" w:hint="eastAsia"/>
          <w:b/>
          <w:szCs w:val="21"/>
        </w:rPr>
        <w:t>、</w:t>
      </w:r>
      <w:r>
        <w:rPr>
          <w:rFonts w:hint="eastAsia"/>
          <w:b/>
          <w:szCs w:val="21"/>
        </w:rPr>
        <w:t>评标定标信息</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4264" w:type="dxa"/>
            <w:noWrap w:val="0"/>
            <w:vAlign w:val="top"/>
          </w:tcPr>
          <w:p>
            <w:pPr>
              <w:spacing w:after="60"/>
              <w:jc w:val="center"/>
              <w:rPr>
                <w:rFonts w:ascii="宋体" w:eastAsia="宋体" w:hAnsi="宋体"/>
                <w:szCs w:val="21"/>
              </w:rPr>
            </w:pPr>
            <w:r>
              <w:rPr>
                <w:rFonts w:ascii="宋体" w:eastAsia="宋体" w:hAnsi="宋体" w:hint="eastAsia"/>
                <w:szCs w:val="21"/>
              </w:rPr>
              <w:t>是否评标定标分离</w:t>
            </w:r>
          </w:p>
        </w:tc>
        <w:tc>
          <w:tcPr>
            <w:tcW w:w="4265" w:type="dxa"/>
            <w:noWrap w:val="0"/>
            <w:vAlign w:val="top"/>
          </w:tcPr>
          <w:p>
            <w:pPr>
              <w:spacing w:after="60"/>
              <w:jc w:val="center"/>
              <w:rPr>
                <w:rFonts w:ascii="宋体" w:eastAsia="宋体" w:hAnsi="宋体"/>
                <w:szCs w:val="21"/>
              </w:rPr>
            </w:pPr>
            <w:r>
              <w:rPr>
                <w:rFonts w:ascii="宋体" w:eastAsia="宋体" w:hAnsi="宋体" w:hint="eastAsia"/>
                <w:szCs w:val="21"/>
              </w:rPr>
              <w:t>非评定分离</w:t>
            </w:r>
          </w:p>
        </w:tc>
      </w:tr>
      <w:tr>
        <w:tblPrEx>
          <w:tblW w:w="0" w:type="auto"/>
          <w:jc w:val="center"/>
          <w:tblLayout w:type="fixed"/>
          <w:tblCellMar>
            <w:top w:w="0" w:type="dxa"/>
            <w:left w:w="108" w:type="dxa"/>
            <w:bottom w:w="0" w:type="dxa"/>
            <w:right w:w="108" w:type="dxa"/>
          </w:tblCellMar>
        </w:tblPrEx>
        <w:trPr>
          <w:jc w:val="center"/>
        </w:trPr>
        <w:tc>
          <w:tcPr>
            <w:tcW w:w="4264" w:type="dxa"/>
            <w:noWrap w:val="0"/>
            <w:vAlign w:val="top"/>
          </w:tcPr>
          <w:p>
            <w:pPr>
              <w:spacing w:after="60"/>
              <w:jc w:val="center"/>
              <w:rPr>
                <w:rFonts w:ascii="宋体" w:eastAsia="宋体" w:hAnsi="宋体"/>
                <w:szCs w:val="21"/>
              </w:rPr>
            </w:pPr>
            <w:r>
              <w:rPr>
                <w:rFonts w:ascii="宋体" w:eastAsia="宋体" w:hAnsi="宋体" w:hint="eastAsia"/>
                <w:szCs w:val="21"/>
              </w:rPr>
              <w:t>定标方法</w:t>
            </w:r>
          </w:p>
        </w:tc>
        <w:tc>
          <w:tcPr>
            <w:tcW w:w="4265" w:type="dxa"/>
            <w:noWrap w:val="0"/>
            <w:vAlign w:val="top"/>
          </w:tcPr>
          <w:p>
            <w:pPr>
              <w:spacing w:after="60"/>
              <w:jc w:val="center"/>
              <w:rPr>
                <w:rFonts w:ascii="宋体" w:eastAsia="宋体" w:hAnsi="宋体"/>
                <w:szCs w:val="21"/>
              </w:rPr>
            </w:pPr>
            <w:r>
              <w:rPr>
                <w:rFonts w:ascii="宋体" w:eastAsia="宋体" w:hAnsi="宋体" w:hint="eastAsia"/>
                <w:szCs w:val="21"/>
              </w:rPr>
              <w:t>/</w:t>
            </w:r>
          </w:p>
        </w:tc>
      </w:tr>
      <w:tr>
        <w:tblPrEx>
          <w:tblW w:w="0" w:type="auto"/>
          <w:jc w:val="center"/>
          <w:tblLayout w:type="fixed"/>
          <w:tblCellMar>
            <w:top w:w="0" w:type="dxa"/>
            <w:left w:w="108" w:type="dxa"/>
            <w:bottom w:w="0" w:type="dxa"/>
            <w:right w:w="108" w:type="dxa"/>
          </w:tblCellMar>
        </w:tblPrEx>
        <w:trPr>
          <w:jc w:val="center"/>
        </w:trPr>
        <w:tc>
          <w:tcPr>
            <w:tcW w:w="4264" w:type="dxa"/>
            <w:noWrap w:val="0"/>
            <w:vAlign w:val="top"/>
          </w:tcPr>
          <w:p>
            <w:pPr>
              <w:spacing w:after="60"/>
              <w:jc w:val="center"/>
              <w:rPr>
                <w:rFonts w:ascii="宋体" w:eastAsia="宋体" w:hAnsi="宋体"/>
                <w:szCs w:val="21"/>
              </w:rPr>
            </w:pPr>
            <w:r>
              <w:rPr>
                <w:rFonts w:ascii="宋体" w:eastAsia="宋体" w:hAnsi="宋体" w:hint="eastAsia"/>
                <w:szCs w:val="21"/>
              </w:rPr>
              <w:t>评标方法</w:t>
            </w:r>
          </w:p>
        </w:tc>
        <w:tc>
          <w:tcPr>
            <w:tcW w:w="4265" w:type="dxa"/>
            <w:noWrap w:val="0"/>
            <w:vAlign w:val="top"/>
          </w:tcPr>
          <w:p>
            <w:pPr>
              <w:spacing w:after="60"/>
              <w:jc w:val="center"/>
              <w:rPr>
                <w:rFonts w:ascii="宋体" w:eastAsia="宋体" w:hAnsi="宋体"/>
                <w:szCs w:val="21"/>
              </w:rPr>
            </w:pPr>
            <w:r>
              <w:rPr>
                <w:rFonts w:ascii="宋体" w:eastAsia="宋体" w:hAnsi="宋体" w:hint="eastAsia"/>
                <w:szCs w:val="21"/>
              </w:rPr>
              <w:t>综合评分法</w:t>
            </w:r>
          </w:p>
        </w:tc>
      </w:tr>
      <w:tr>
        <w:tblPrEx>
          <w:tblW w:w="0" w:type="auto"/>
          <w:jc w:val="center"/>
          <w:tblLayout w:type="fixed"/>
          <w:tblCellMar>
            <w:top w:w="0" w:type="dxa"/>
            <w:left w:w="108" w:type="dxa"/>
            <w:bottom w:w="0" w:type="dxa"/>
            <w:right w:w="108" w:type="dxa"/>
          </w:tblCellMar>
        </w:tblPrEx>
        <w:trPr>
          <w:jc w:val="center"/>
        </w:trPr>
        <w:tc>
          <w:tcPr>
            <w:tcW w:w="4264" w:type="dxa"/>
            <w:noWrap w:val="0"/>
            <w:vAlign w:val="top"/>
          </w:tcPr>
          <w:p>
            <w:pPr>
              <w:spacing w:after="60"/>
              <w:jc w:val="center"/>
              <w:rPr>
                <w:rFonts w:ascii="宋体" w:eastAsia="宋体" w:hAnsi="宋体"/>
                <w:szCs w:val="21"/>
              </w:rPr>
            </w:pPr>
            <w:r>
              <w:rPr>
                <w:rFonts w:ascii="宋体" w:eastAsia="宋体" w:hAnsi="宋体" w:hint="eastAsia"/>
                <w:szCs w:val="21"/>
              </w:rPr>
              <w:t>中标供应商家数</w:t>
            </w:r>
          </w:p>
        </w:tc>
        <w:tc>
          <w:tcPr>
            <w:tcW w:w="4265" w:type="dxa"/>
            <w:noWrap w:val="0"/>
            <w:vAlign w:val="top"/>
          </w:tcPr>
          <w:p>
            <w:pPr>
              <w:spacing w:after="60"/>
              <w:jc w:val="center"/>
              <w:rPr>
                <w:rFonts w:ascii="宋体" w:eastAsia="宋体" w:hAnsi="宋体"/>
                <w:szCs w:val="21"/>
              </w:rPr>
            </w:pPr>
            <w:r>
              <w:rPr>
                <w:rFonts w:ascii="宋体" w:eastAsia="宋体" w:hAnsi="宋体" w:hint="eastAsia"/>
                <w:szCs w:val="21"/>
              </w:rPr>
              <w:t>1</w:t>
            </w:r>
          </w:p>
        </w:tc>
      </w:tr>
      <w:tr>
        <w:tblPrEx>
          <w:tblW w:w="0" w:type="auto"/>
          <w:jc w:val="center"/>
          <w:tblLayout w:type="fixed"/>
          <w:tblCellMar>
            <w:top w:w="0" w:type="dxa"/>
            <w:left w:w="108" w:type="dxa"/>
            <w:bottom w:w="0" w:type="dxa"/>
            <w:right w:w="108" w:type="dxa"/>
          </w:tblCellMar>
        </w:tblPrEx>
        <w:trPr>
          <w:jc w:val="center"/>
        </w:trPr>
        <w:tc>
          <w:tcPr>
            <w:tcW w:w="4264" w:type="dxa"/>
            <w:noWrap w:val="0"/>
            <w:vAlign w:val="top"/>
          </w:tcPr>
          <w:p>
            <w:pPr>
              <w:spacing w:after="60"/>
              <w:jc w:val="center"/>
              <w:rPr>
                <w:rFonts w:ascii="宋体" w:eastAsia="宋体" w:hAnsi="宋体"/>
                <w:szCs w:val="21"/>
              </w:rPr>
            </w:pPr>
            <w:r>
              <w:rPr>
                <w:rFonts w:ascii="宋体" w:eastAsia="宋体" w:hAnsi="宋体" w:hint="eastAsia"/>
                <w:szCs w:val="21"/>
              </w:rPr>
              <w:t>候选中标供应商家数</w:t>
            </w:r>
          </w:p>
        </w:tc>
        <w:tc>
          <w:tcPr>
            <w:tcW w:w="4265" w:type="dxa"/>
            <w:noWrap w:val="0"/>
            <w:vAlign w:val="top"/>
          </w:tcPr>
          <w:p>
            <w:pPr>
              <w:spacing w:after="60"/>
              <w:jc w:val="center"/>
              <w:rPr>
                <w:rFonts w:ascii="宋体" w:eastAsia="宋体" w:hAnsi="宋体" w:hint="eastAsia"/>
                <w:szCs w:val="21"/>
                <w:lang w:eastAsia="zh-CN"/>
              </w:rPr>
            </w:pPr>
            <w:r>
              <w:rPr>
                <w:rFonts w:ascii="宋体" w:eastAsia="宋体" w:hAnsi="宋体" w:hint="eastAsia"/>
                <w:szCs w:val="21"/>
                <w:lang w:val="en-US" w:eastAsia="zh-CN"/>
              </w:rPr>
              <w:t>2</w:t>
            </w:r>
          </w:p>
        </w:tc>
      </w:tr>
    </w:tbl>
    <w:p>
      <w:pPr>
        <w:spacing w:line="360" w:lineRule="auto"/>
        <w:ind w:firstLine="412" w:firstLineChars="196"/>
        <w:rPr>
          <w:rFonts w:ascii="宋体" w:hAnsi="宋体"/>
        </w:rPr>
      </w:pPr>
    </w:p>
    <w:p>
      <w:pPr>
        <w:spacing w:line="360" w:lineRule="auto"/>
        <w:ind w:firstLine="412" w:firstLineChars="196"/>
        <w:rPr>
          <w:rFonts w:ascii="宋体" w:hAnsi="宋体"/>
          <w:b/>
          <w:szCs w:val="21"/>
        </w:rPr>
      </w:pPr>
      <w:r>
        <w:rPr>
          <w:rFonts w:ascii="宋体" w:hAnsi="宋体" w:hint="eastAsia"/>
          <w:b/>
          <w:szCs w:val="21"/>
        </w:rPr>
        <w:t>二</w:t>
      </w:r>
      <w:r>
        <w:rPr>
          <w:rFonts w:ascii="宋体" w:eastAsia="宋体" w:hAnsi="宋体" w:hint="eastAsia"/>
          <w:b/>
          <w:szCs w:val="21"/>
        </w:rPr>
        <w:t>、</w:t>
      </w:r>
      <w:r>
        <w:rPr>
          <w:rFonts w:ascii="宋体" w:hAnsi="宋体" w:hint="eastAsia"/>
          <w:b/>
          <w:szCs w:val="21"/>
        </w:rPr>
        <w:t>报价明显偏低的合理性说明</w:t>
      </w:r>
    </w:p>
    <w:p>
      <w:pPr>
        <w:spacing w:line="360" w:lineRule="auto"/>
        <w:ind w:firstLine="420" w:firstLineChars="200"/>
        <w:rPr>
          <w:rFonts w:ascii="宋体" w:hAnsi="宋体"/>
          <w:szCs w:val="21"/>
        </w:rPr>
      </w:pPr>
      <w:r>
        <w:rPr>
          <w:rFonts w:ascii="宋体" w:hAnsi="宋体" w:hint="eastAsia"/>
          <w:szCs w:val="21"/>
        </w:rPr>
        <w:t>根据《中华人民共和国财政部令第</w:t>
      </w:r>
      <w:r>
        <w:rPr>
          <w:rFonts w:ascii="宋体" w:hAnsi="宋体"/>
          <w:szCs w:val="21"/>
        </w:rPr>
        <w:t>87</w:t>
      </w:r>
      <w:r>
        <w:rPr>
          <w:rFonts w:ascii="宋体" w:hAnsi="宋体" w:hint="eastAsia"/>
          <w:szCs w:val="21"/>
        </w:rPr>
        <w:t>号</w:t>
      </w:r>
      <w:r>
        <w:rPr>
          <w:rFonts w:ascii="宋体" w:hAnsi="宋体"/>
          <w:szCs w:val="21"/>
        </w:rPr>
        <w:t>-</w:t>
      </w:r>
      <w:r>
        <w:rPr>
          <w:rFonts w:ascii="宋体" w:hAnsi="宋体"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20" w:firstLineChars="200"/>
        <w:rPr>
          <w:rFonts w:ascii="宋体" w:hAnsi="宋体"/>
          <w:szCs w:val="21"/>
        </w:rPr>
      </w:pPr>
    </w:p>
    <w:p>
      <w:pPr>
        <w:spacing w:line="360" w:lineRule="auto"/>
        <w:ind w:firstLine="420" w:firstLineChars="200"/>
        <w:rPr>
          <w:rFonts w:ascii="宋体" w:eastAsia="宋体" w:hAnsi="宋体"/>
          <w:b/>
          <w:bCs/>
        </w:rPr>
      </w:pPr>
      <w:r>
        <w:rPr>
          <w:rFonts w:ascii="宋体" w:eastAsia="宋体" w:hAnsi="宋体" w:hint="eastAsia"/>
          <w:b/>
          <w:szCs w:val="21"/>
        </w:rPr>
        <w:t>三、</w:t>
      </w:r>
      <w:r>
        <w:rPr>
          <w:rFonts w:ascii="宋体" w:eastAsia="宋体" w:hAnsi="宋体" w:hint="eastAsia"/>
          <w:b/>
          <w:bCs/>
        </w:rPr>
        <w:t>关于享受政府采购扶持政策的主体及价格扣除比例</w:t>
      </w:r>
    </w:p>
    <w:p>
      <w:pPr>
        <w:spacing w:after="60" w:line="360" w:lineRule="auto"/>
        <w:ind w:firstLine="424" w:firstLineChars="202"/>
        <w:rPr>
          <w:rFonts w:ascii="宋体" w:hAnsi="宋体"/>
          <w:b/>
          <w:snapToGrid w:val="0"/>
          <w:szCs w:val="21"/>
        </w:rPr>
      </w:pPr>
      <w:r>
        <w:rPr>
          <w:rFonts w:ascii="宋体" w:hAnsi="宋体" w:hint="eastAsia"/>
          <w:b/>
          <w:snapToGrid w:val="0"/>
          <w:szCs w:val="21"/>
          <w:highlight w:val="yellow"/>
        </w:rPr>
        <w:t>（一）本项目所属行业为</w:t>
      </w:r>
      <w:r>
        <w:rPr>
          <w:rFonts w:ascii="宋体" w:hAnsi="宋体" w:hint="eastAsia"/>
          <w:b/>
          <w:snapToGrid w:val="0"/>
          <w:szCs w:val="21"/>
          <w:highlight w:val="yellow"/>
          <w:u w:val="single"/>
        </w:rPr>
        <w:t xml:space="preserve"> 其他未列明行业 </w:t>
      </w:r>
      <w:r>
        <w:rPr>
          <w:rFonts w:ascii="宋体" w:hAnsi="宋体" w:hint="eastAsia"/>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pPr>
        <w:spacing w:line="360" w:lineRule="auto"/>
        <w:ind w:firstLine="420" w:firstLineChars="200"/>
        <w:rPr>
          <w:rFonts w:ascii="宋体" w:eastAsia="宋体" w:hAnsi="宋体"/>
          <w:b/>
          <w:bCs/>
        </w:rPr>
      </w:pPr>
      <w:r>
        <w:rPr>
          <w:rFonts w:ascii="宋体" w:eastAsia="宋体" w:hAnsi="宋体" w:hint="eastAsia"/>
          <w:b/>
          <w:bCs/>
        </w:rPr>
        <w:t>（二）价格评审优惠</w:t>
      </w:r>
    </w:p>
    <w:p>
      <w:pPr>
        <w:spacing w:line="360" w:lineRule="auto"/>
        <w:ind w:firstLine="372" w:firstLineChars="177"/>
        <w:rPr>
          <w:rFonts w:ascii="宋体" w:eastAsia="宋体" w:hAnsi="宋体" w:cs="仿宋"/>
          <w:szCs w:val="21"/>
        </w:rPr>
      </w:pPr>
      <w:r>
        <w:rPr>
          <w:rFonts w:ascii="宋体" w:eastAsia="宋体" w:hAnsi="宋体" w:hint="eastAsia"/>
          <w:szCs w:val="21"/>
        </w:rPr>
        <w:t>□</w:t>
      </w:r>
      <w:r>
        <w:rPr>
          <w:rFonts w:hAnsi="宋体" w:hint="eastAsia"/>
          <w:szCs w:val="24"/>
        </w:rPr>
        <w:t>预留份额专门面向中小企业采购的采购项目或采购包</w:t>
      </w:r>
      <w:r>
        <w:rPr>
          <w:rFonts w:ascii="宋体" w:eastAsia="宋体" w:hAnsi="宋体" w:cs="仿宋" w:hint="eastAsia"/>
          <w:szCs w:val="21"/>
        </w:rPr>
        <w:t>：不执行价格评审优惠的扶持政策。</w:t>
      </w:r>
    </w:p>
    <w:p>
      <w:pPr>
        <w:widowControl/>
        <w:spacing w:line="360" w:lineRule="auto"/>
        <w:ind w:firstLine="372" w:firstLineChars="177"/>
        <w:jc w:val="left"/>
        <w:rPr>
          <w:rFonts w:ascii="宋体" w:eastAsia="宋体" w:hAnsi="宋体" w:cs="仿宋"/>
          <w:szCs w:val="21"/>
        </w:rPr>
      </w:pPr>
      <w:r>
        <w:rPr>
          <w:rFonts w:ascii="宋体" w:eastAsia="MS Mincho" w:hAnsi="宋体" w:cs="MS Mincho" w:hint="eastAsia"/>
          <w:kern w:val="0"/>
          <w:szCs w:val="21"/>
        </w:rPr>
        <w:t>☑</w:t>
      </w:r>
      <w:r>
        <w:rPr>
          <w:rFonts w:ascii="Segoe UI Symbol" w:hAnsi="Segoe UI Symbol" w:hint="eastAsia"/>
          <w:szCs w:val="24"/>
        </w:rPr>
        <w:t>未</w:t>
      </w:r>
      <w:r>
        <w:rPr>
          <w:rFonts w:hAnsi="宋体" w:hint="eastAsia"/>
          <w:szCs w:val="24"/>
        </w:rPr>
        <w:t>预留份额专门面向中小企业采购的采购项目或采购包</w:t>
      </w:r>
      <w:r>
        <w:rPr>
          <w:rFonts w:ascii="宋体" w:eastAsia="宋体" w:hAnsi="宋体" w:hint="eastAsia"/>
          <w:szCs w:val="21"/>
        </w:rPr>
        <w:t>：</w:t>
      </w:r>
    </w:p>
    <w:p>
      <w:pPr>
        <w:spacing w:line="360" w:lineRule="auto"/>
        <w:ind w:firstLine="424" w:firstLineChars="202"/>
        <w:rPr>
          <w:rFonts w:ascii="宋体" w:eastAsia="宋体" w:hAnsi="宋体"/>
        </w:rPr>
      </w:pPr>
      <w:r>
        <w:rPr>
          <w:rFonts w:ascii="宋体" w:eastAsia="宋体" w:hAnsi="宋体" w:hint="eastAsia"/>
        </w:rPr>
        <w:t>（1）根据</w:t>
      </w:r>
      <w:r>
        <w:rPr>
          <w:rFonts w:ascii="宋体" w:hAnsi="宋体" w:hint="eastAsia"/>
          <w:snapToGrid w:val="0"/>
          <w:szCs w:val="21"/>
        </w:rPr>
        <w:t>《财政部 工业和信息化部关于印发《政府采购促进中小企业发展管理办法》的通知》(财库〔2020〕46号)</w:t>
      </w:r>
      <w:r>
        <w:rPr>
          <w:rFonts w:ascii="宋体" w:eastAsia="宋体" w:hAnsi="宋体" w:hint="eastAsia"/>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ascii="宋体" w:eastAsia="宋体" w:hAnsi="宋体" w:hint="eastAsia"/>
          <w:b/>
        </w:rPr>
        <w:t>其投标报价扣除</w:t>
      </w:r>
      <w:r>
        <w:rPr>
          <w:rFonts w:ascii="宋体" w:eastAsia="宋体" w:hAnsi="宋体" w:hint="eastAsia"/>
          <w:b/>
          <w:u w:val="single"/>
        </w:rPr>
        <w:t xml:space="preserve"> 10 </w:t>
      </w:r>
      <w:r>
        <w:rPr>
          <w:rFonts w:ascii="宋体" w:eastAsia="宋体" w:hAnsi="宋体" w:hint="eastAsia"/>
          <w:b/>
        </w:rPr>
        <w:t>%（请在10%-20%范围内选择）后参与评审</w:t>
      </w:r>
      <w:r>
        <w:rPr>
          <w:rFonts w:ascii="宋体" w:eastAsia="宋体" w:hAnsi="宋体" w:hint="eastAsia"/>
        </w:rPr>
        <w:t>。</w:t>
      </w:r>
    </w:p>
    <w:p>
      <w:pPr>
        <w:spacing w:line="360" w:lineRule="auto"/>
        <w:ind w:firstLine="424" w:firstLineChars="202"/>
        <w:rPr>
          <w:rFonts w:ascii="宋体" w:eastAsia="宋体" w:hAnsi="宋体"/>
        </w:rPr>
      </w:pPr>
      <w:r>
        <w:rPr>
          <w:rFonts w:ascii="宋体" w:eastAsia="宋体" w:hAnsi="宋体" w:hint="eastAsia"/>
        </w:rPr>
        <w:t>（2）联合协议中约定，小型、微型企业的协议合同金额占到联合体协议合同总金额30%以上的，可给予</w:t>
      </w:r>
      <w:r>
        <w:rPr>
          <w:rFonts w:ascii="宋体" w:eastAsia="宋体" w:hAnsi="宋体" w:hint="eastAsia"/>
          <w:b/>
        </w:rPr>
        <w:t>联合体</w:t>
      </w:r>
      <w:r>
        <w:rPr>
          <w:rFonts w:ascii="宋体" w:eastAsia="宋体" w:hAnsi="宋体" w:hint="eastAsia"/>
          <w:b/>
          <w:u w:val="single"/>
        </w:rPr>
        <w:t xml:space="preserve"> / </w:t>
      </w:r>
      <w:r>
        <w:rPr>
          <w:rFonts w:ascii="宋体" w:eastAsia="宋体" w:hAnsi="宋体" w:hint="eastAsia"/>
          <w:b/>
        </w:rPr>
        <w:t>%</w:t>
      </w:r>
      <w:r>
        <w:rPr>
          <w:rFonts w:ascii="宋体" w:eastAsia="宋体" w:hAnsi="宋体"/>
          <w:b/>
        </w:rPr>
        <w:t xml:space="preserve"> </w:t>
      </w:r>
      <w:r>
        <w:rPr>
          <w:rFonts w:ascii="宋体" w:eastAsia="宋体" w:hAnsi="宋体" w:hint="eastAsia"/>
          <w:b/>
        </w:rPr>
        <w:t>（请在4</w:t>
      </w:r>
      <w:r>
        <w:rPr>
          <w:rFonts w:ascii="宋体" w:eastAsia="宋体" w:hAnsi="宋体"/>
          <w:b/>
        </w:rPr>
        <w:t>%-</w:t>
      </w:r>
      <w:r>
        <w:rPr>
          <w:rFonts w:ascii="宋体" w:eastAsia="宋体" w:hAnsi="宋体" w:hint="eastAsia"/>
          <w:b/>
        </w:rPr>
        <w:t>6</w:t>
      </w:r>
      <w:r>
        <w:rPr>
          <w:rFonts w:ascii="宋体" w:eastAsia="宋体" w:hAnsi="宋体"/>
          <w:b/>
        </w:rPr>
        <w:t>%</w:t>
      </w:r>
      <w:r>
        <w:rPr>
          <w:rFonts w:ascii="宋体" w:eastAsia="宋体" w:hAnsi="宋体" w:hint="eastAsia"/>
          <w:b/>
        </w:rPr>
        <w:t>范围内选择）</w:t>
      </w:r>
      <w:r>
        <w:rPr>
          <w:rFonts w:ascii="宋体" w:eastAsia="宋体" w:hAnsi="宋体" w:hint="eastAsia"/>
        </w:rPr>
        <w:t>的价格扣除</w:t>
      </w:r>
      <w:r>
        <w:rPr>
          <w:rFonts w:ascii="宋体" w:hAnsi="宋体" w:hint="eastAsia"/>
        </w:rPr>
        <w:t>，用扣除后的价格参与评审</w:t>
      </w:r>
      <w:r>
        <w:rPr>
          <w:rFonts w:ascii="宋体" w:eastAsia="宋体" w:hAnsi="宋体" w:hint="eastAsia"/>
        </w:rPr>
        <w:t>。如联合体各方均为小型、微型企业，联合体视同为小型、微型企业，享受</w:t>
      </w:r>
      <w:r>
        <w:rPr>
          <w:rFonts w:ascii="宋体" w:eastAsia="宋体" w:hAnsi="宋体" w:hint="eastAsia"/>
          <w:b/>
        </w:rPr>
        <w:t>第（1）项</w:t>
      </w:r>
      <w:r>
        <w:rPr>
          <w:rFonts w:ascii="宋体" w:eastAsia="宋体" w:hAnsi="宋体" w:hint="eastAsia"/>
        </w:rPr>
        <w:t>的评审优惠。</w:t>
      </w:r>
    </w:p>
    <w:p>
      <w:pPr>
        <w:spacing w:after="60" w:line="360" w:lineRule="auto"/>
        <w:ind w:firstLine="424" w:firstLineChars="202"/>
        <w:rPr>
          <w:rFonts w:ascii="宋体" w:hAnsi="宋体"/>
        </w:rPr>
      </w:pPr>
      <w:r>
        <w:rPr>
          <w:rFonts w:ascii="宋体" w:hAnsi="宋体" w:hint="eastAsia"/>
        </w:rPr>
        <w:t>（3）分包意向协议约定，小型、微型企业的协议合同金额占到合同总金额30%以上的，可给予投标人</w:t>
      </w:r>
      <w:r>
        <w:rPr>
          <w:rFonts w:ascii="宋体" w:hAnsi="宋体" w:hint="eastAsia"/>
          <w:b/>
          <w:u w:val="single"/>
        </w:rPr>
        <w:t xml:space="preserve">  </w:t>
      </w:r>
      <w:r>
        <w:rPr>
          <w:rFonts w:ascii="宋体" w:eastAsia="宋体" w:hAnsi="宋体" w:hint="eastAsia"/>
          <w:b/>
          <w:u w:val="single"/>
        </w:rPr>
        <w:t xml:space="preserve">/  </w:t>
      </w:r>
      <w:r>
        <w:rPr>
          <w:rFonts w:ascii="宋体" w:eastAsia="宋体" w:hAnsi="宋体" w:hint="eastAsia"/>
          <w:b/>
        </w:rPr>
        <w:t>%</w:t>
      </w:r>
      <w:r>
        <w:rPr>
          <w:rFonts w:ascii="宋体" w:eastAsia="宋体" w:hAnsi="宋体"/>
          <w:b/>
        </w:rPr>
        <w:t xml:space="preserve"> </w:t>
      </w:r>
      <w:r>
        <w:rPr>
          <w:rFonts w:ascii="宋体" w:eastAsia="宋体" w:hAnsi="宋体" w:hint="eastAsia"/>
          <w:b/>
        </w:rPr>
        <w:t>（请在4</w:t>
      </w:r>
      <w:r>
        <w:rPr>
          <w:rFonts w:ascii="宋体" w:eastAsia="宋体" w:hAnsi="宋体"/>
          <w:b/>
        </w:rPr>
        <w:t>%-</w:t>
      </w:r>
      <w:r>
        <w:rPr>
          <w:rFonts w:ascii="宋体" w:eastAsia="宋体" w:hAnsi="宋体" w:hint="eastAsia"/>
          <w:b/>
        </w:rPr>
        <w:t>6</w:t>
      </w:r>
      <w:r>
        <w:rPr>
          <w:rFonts w:ascii="宋体" w:eastAsia="宋体" w:hAnsi="宋体"/>
          <w:b/>
        </w:rPr>
        <w:t>%</w:t>
      </w:r>
      <w:r>
        <w:rPr>
          <w:rFonts w:ascii="宋体" w:eastAsia="宋体" w:hAnsi="宋体" w:hint="eastAsia"/>
          <w:b/>
        </w:rPr>
        <w:t>范围内选择）</w:t>
      </w:r>
      <w:r>
        <w:rPr>
          <w:rFonts w:ascii="宋体" w:eastAsia="宋体" w:hAnsi="宋体" w:hint="eastAsia"/>
        </w:rPr>
        <w:t>的价格扣除</w:t>
      </w:r>
      <w:r>
        <w:rPr>
          <w:rFonts w:ascii="宋体" w:hAnsi="宋体" w:hint="eastAsia"/>
        </w:rPr>
        <w:t>，用扣除后的价格参与评审。</w:t>
      </w:r>
    </w:p>
    <w:p>
      <w:pPr>
        <w:spacing w:after="60" w:line="360" w:lineRule="auto"/>
        <w:ind w:firstLine="424" w:firstLineChars="202"/>
        <w:rPr>
          <w:rFonts w:ascii="宋体" w:hAnsi="宋体"/>
        </w:rPr>
      </w:pPr>
      <w:r>
        <w:rPr>
          <w:rFonts w:ascii="宋体" w:hAnsi="宋体" w:hint="eastAsia"/>
        </w:rPr>
        <w:t>（4）</w:t>
      </w:r>
      <w:r>
        <w:rPr>
          <w:rFonts w:ascii="宋体" w:eastAsia="宋体" w:hAnsi="宋体" w:hint="eastAsia"/>
        </w:rPr>
        <w:t>如供应商为</w:t>
      </w:r>
      <w:r>
        <w:rPr>
          <w:rFonts w:hAnsi="宋体" w:hint="eastAsia"/>
        </w:rPr>
        <w:t>监狱企业</w:t>
      </w:r>
      <w:r>
        <w:rPr>
          <w:rFonts w:hAnsi="宋体" w:hint="eastAsia"/>
          <w:szCs w:val="21"/>
        </w:rPr>
        <w:t>或残疾人福利性单位，</w:t>
      </w:r>
      <w:r>
        <w:rPr>
          <w:rFonts w:hAnsi="宋体" w:hint="eastAsia"/>
        </w:rPr>
        <w:t>视同</w:t>
      </w:r>
      <w:r>
        <w:rPr>
          <w:rFonts w:ascii="宋体" w:eastAsia="宋体" w:hAnsi="宋体" w:hint="eastAsia"/>
        </w:rPr>
        <w:t>小型、微型企业，</w:t>
      </w:r>
      <w:r>
        <w:rPr>
          <w:rFonts w:hAnsi="宋体" w:hint="eastAsia"/>
        </w:rPr>
        <w:t>享受以上预留份额、评审中价格扣除等政府采购促进中小企业发展的政府采购政策；</w:t>
      </w:r>
      <w:r>
        <w:rPr>
          <w:rFonts w:ascii="宋体" w:eastAsia="宋体" w:hAnsi="宋体" w:hint="eastAsia"/>
        </w:rPr>
        <w:t>对于同时属于小型、微型企业、监狱企业或残疾人福利性单位的供应商，不重复享受政策。</w:t>
      </w:r>
    </w:p>
    <w:p>
      <w:pPr>
        <w:spacing w:after="60" w:line="360" w:lineRule="auto"/>
        <w:ind w:firstLine="424" w:firstLineChars="202"/>
        <w:rPr>
          <w:rFonts w:ascii="宋体" w:hAnsi="宋体"/>
        </w:rPr>
      </w:pPr>
      <w:r>
        <w:rPr>
          <w:rFonts w:ascii="宋体" w:hAnsi="宋体" w:hint="eastAsia"/>
        </w:rPr>
        <w:t>（5）优惠主体资格的认定资料为《中小企业声明函》、《残疾人福利性单位声明函》以及《监狱企业声明函》等承诺性质的资料（</w:t>
      </w:r>
      <w:r>
        <w:rPr>
          <w:rFonts w:ascii="宋体" w:hAnsi="宋体" w:cs="宋体" w:hint="eastAsia"/>
          <w:szCs w:val="21"/>
        </w:rPr>
        <w:t>格式详见招标文件第三章</w:t>
      </w:r>
      <w:r>
        <w:rPr>
          <w:rFonts w:ascii="宋体" w:hAnsi="宋体" w:hint="eastAsia"/>
        </w:rPr>
        <w:t>）；监狱企业或者代理提供监狱企业货物的供应商如需享受优惠政策，除上述资料外，还须提供省级以上监狱管理局、戒毒管理局出具的监狱企业证明文件。</w:t>
      </w:r>
    </w:p>
    <w:p>
      <w:pPr>
        <w:spacing w:line="360" w:lineRule="auto"/>
        <w:ind w:firstLine="420" w:firstLineChars="200"/>
        <w:rPr>
          <w:rFonts w:ascii="宋体" w:eastAsia="宋体" w:hAnsi="宋体"/>
          <w:b/>
          <w:szCs w:val="21"/>
        </w:rPr>
      </w:pPr>
    </w:p>
    <w:p>
      <w:pPr>
        <w:pStyle w:val="NormalWeb"/>
        <w:keepNext w:val="0"/>
        <w:keepLines w:val="0"/>
        <w:pageBreakBefore w:val="0"/>
        <w:widowControl/>
        <w:suppressLineNumbers w:val="0"/>
        <w:pBdr>
          <w:top w:val="nil"/>
          <w:left w:val="nil"/>
          <w:bottom w:val="nil"/>
          <w:right w:val="nil"/>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ascii="宋体" w:eastAsia="宋体" w:hAnsi="宋体" w:cs="宋体" w:hint="eastAsia"/>
          <w:b/>
          <w:sz w:val="21"/>
          <w:szCs w:val="21"/>
        </w:rPr>
      </w:pPr>
      <w:r>
        <w:rPr>
          <w:rFonts w:ascii="宋体" w:eastAsia="宋体" w:hAnsi="宋体" w:cs="宋体" w:hint="eastAsia"/>
          <w:b/>
          <w:sz w:val="21"/>
          <w:szCs w:val="21"/>
          <w:lang w:eastAsia="zh-CN"/>
        </w:rPr>
        <w:t>四</w:t>
      </w:r>
      <w:r>
        <w:rPr>
          <w:rFonts w:ascii="宋体" w:eastAsia="宋体" w:hAnsi="宋体" w:cs="宋体" w:hint="eastAsia"/>
          <w:b/>
          <w:sz w:val="21"/>
          <w:szCs w:val="21"/>
        </w:rPr>
        <w:t>、绿色采购</w:t>
      </w:r>
    </w:p>
    <w:p>
      <w:pPr>
        <w:spacing w:line="360" w:lineRule="auto"/>
        <w:ind w:firstLine="424" w:firstLineChars="202"/>
        <w:jc w:val="left"/>
        <w:rPr>
          <w:rFonts w:ascii="宋体" w:eastAsia="宋体" w:hAnsi="宋体"/>
          <w:szCs w:val="21"/>
        </w:rPr>
      </w:pPr>
      <w:r>
        <w:rPr>
          <w:rFonts w:ascii="宋体" w:eastAsia="宋体" w:hAnsi="宋体" w:hint="eastAsia"/>
          <w:szCs w:val="24"/>
        </w:rPr>
        <w:t>（1）投标产品属于《关于调整优化节能产品环境标志产品政府采购执行机制的通知》（财库〔2019〕9号）、《关于印发环境标志产品政府采购品目清单的通知》（财库〔2019〕18号）和《关于印发节能产品</w:t>
      </w:r>
      <w:r>
        <w:rPr>
          <w:rFonts w:ascii="宋体" w:eastAsia="宋体" w:hAnsi="宋体" w:hint="eastAsia"/>
          <w:szCs w:val="21"/>
        </w:rPr>
        <w:t>政府采购品目清单的通知》（财库〔2019〕19号）品目清单范围内的，</w:t>
      </w:r>
      <w:r>
        <w:rPr>
          <w:rFonts w:ascii="宋体" w:eastAsia="宋体" w:hAnsi="宋体" w:hint="eastAsia"/>
          <w:szCs w:val="24"/>
        </w:rPr>
        <w:t>应依据国家确定的认证机构出具的、处于有效期之内的节能产品、环境标志产品认证证书，对获得证书的产品实施政府优先采购或强制采购。</w:t>
      </w:r>
      <w:r>
        <w:rPr>
          <w:rFonts w:ascii="宋体" w:eastAsia="宋体" w:hAnsi="宋体" w:hint="eastAsia"/>
          <w:b/>
          <w:szCs w:val="24"/>
        </w:rPr>
        <w:t>对符合条件的获证产品</w:t>
      </w:r>
      <w:r>
        <w:rPr>
          <w:rFonts w:ascii="宋体" w:eastAsia="宋体" w:hAnsi="宋体" w:hint="eastAsia"/>
          <w:b/>
          <w:szCs w:val="21"/>
        </w:rPr>
        <w:t>，根据该投标产品报价给予</w:t>
      </w:r>
      <w:r>
        <w:rPr>
          <w:rFonts w:ascii="宋体" w:eastAsia="宋体" w:hAnsi="宋体" w:hint="eastAsia"/>
          <w:b/>
          <w:szCs w:val="21"/>
          <w:u w:val="single"/>
        </w:rPr>
        <w:t xml:space="preserve"> 1 </w:t>
      </w:r>
      <w:r>
        <w:rPr>
          <w:rFonts w:ascii="宋体" w:eastAsia="宋体" w:hAnsi="宋体" w:hint="eastAsia"/>
          <w:b/>
          <w:szCs w:val="21"/>
        </w:rPr>
        <w:t>%的价格扣除，用扣除后的价格参与评审</w:t>
      </w:r>
      <w:r>
        <w:rPr>
          <w:rFonts w:ascii="宋体" w:eastAsia="宋体" w:hAnsi="宋体" w:hint="eastAsia"/>
          <w:szCs w:val="21"/>
        </w:rPr>
        <w:t>（需按投标文件格式部分“列入政府优先采购清单的投标产品一览表”的要求提供证明材料，否则不予价格扣除）。</w:t>
      </w:r>
    </w:p>
    <w:p>
      <w:pPr>
        <w:autoSpaceDE w:val="0"/>
        <w:autoSpaceDN w:val="0"/>
        <w:adjustRightInd w:val="0"/>
        <w:spacing w:line="360" w:lineRule="auto"/>
        <w:ind w:firstLine="370" w:firstLineChars="176"/>
        <w:jc w:val="left"/>
        <w:rPr>
          <w:rFonts w:ascii="宋体" w:eastAsia="黑体" w:hAnsi="宋体"/>
          <w:b/>
          <w:bCs/>
          <w:kern w:val="44"/>
          <w:sz w:val="28"/>
          <w:szCs w:val="44"/>
        </w:rPr>
      </w:pPr>
      <w:r>
        <w:rPr>
          <w:rFonts w:ascii="宋体" w:eastAsia="宋体" w:hAnsi="宋体" w:hint="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pPr>
        <w:pStyle w:val="NormalWeb"/>
        <w:keepNext w:val="0"/>
        <w:keepLines w:val="0"/>
        <w:pageBreakBefore w:val="0"/>
        <w:widowControl/>
        <w:suppressLineNumbers w:val="0"/>
        <w:pBdr>
          <w:top w:val="nil"/>
          <w:left w:val="nil"/>
          <w:bottom w:val="nil"/>
          <w:right w:val="nil"/>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Style w:val="Strong"/>
          <w:rFonts w:ascii="宋体" w:eastAsia="宋体" w:hAnsi="宋体" w:cs="宋体" w:hint="eastAsia"/>
          <w:i w:val="0"/>
          <w:iCs w:val="0"/>
          <w:caps w:val="0"/>
          <w:color w:val="000000"/>
          <w:spacing w:val="0"/>
          <w:sz w:val="21"/>
          <w:szCs w:val="21"/>
          <w:u w:val="none"/>
          <w:shd w:val="clear" w:color="auto" w:fill="FFFFFF"/>
          <w:vertAlign w:val="baseline"/>
          <w:lang w:eastAsia="zh-CN"/>
        </w:rPr>
      </w:pPr>
    </w:p>
    <w:p>
      <w:pPr>
        <w:pStyle w:val="NormalWeb"/>
        <w:keepNext w:val="0"/>
        <w:keepLines w:val="0"/>
        <w:pageBreakBefore w:val="0"/>
        <w:widowControl/>
        <w:suppressLineNumbers w:val="0"/>
        <w:pBdr>
          <w:top w:val="nil"/>
          <w:left w:val="nil"/>
          <w:bottom w:val="nil"/>
          <w:right w:val="nil"/>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ascii="宋体" w:eastAsia="宋体" w:hAnsi="宋体" w:cs="宋体" w:hint="eastAsia"/>
          <w:sz w:val="21"/>
          <w:szCs w:val="21"/>
        </w:rPr>
      </w:pPr>
      <w:r>
        <w:rPr>
          <w:rStyle w:val="Strong"/>
          <w:rFonts w:ascii="宋体" w:eastAsia="宋体" w:hAnsi="宋体" w:cs="宋体" w:hint="eastAsia"/>
          <w:i w:val="0"/>
          <w:iCs w:val="0"/>
          <w:caps w:val="0"/>
          <w:color w:val="000000"/>
          <w:spacing w:val="0"/>
          <w:sz w:val="21"/>
          <w:szCs w:val="21"/>
          <w:u w:val="none"/>
          <w:shd w:val="clear" w:color="auto" w:fill="FFFFFF"/>
          <w:vertAlign w:val="baseline"/>
          <w:lang w:eastAsia="zh-CN"/>
        </w:rPr>
        <w:t>五</w:t>
      </w:r>
      <w:r>
        <w:rPr>
          <w:rStyle w:val="Strong"/>
          <w:rFonts w:ascii="宋体" w:eastAsia="宋体" w:hAnsi="宋体" w:cs="宋体" w:hint="eastAsia"/>
          <w:i w:val="0"/>
          <w:iCs w:val="0"/>
          <w:caps w:val="0"/>
          <w:color w:val="000000"/>
          <w:spacing w:val="0"/>
          <w:sz w:val="21"/>
          <w:szCs w:val="21"/>
          <w:u w:val="none"/>
          <w:shd w:val="clear" w:color="auto" w:fill="FFFFFF"/>
          <w:vertAlign w:val="baseline"/>
        </w:rPr>
        <w:t>、对本国产品的支持政策</w:t>
      </w:r>
    </w:p>
    <w:p>
      <w:pPr>
        <w:pStyle w:val="NormalWeb"/>
        <w:keepNext w:val="0"/>
        <w:keepLines w:val="0"/>
        <w:pageBreakBefore w:val="0"/>
        <w:widowControl/>
        <w:suppressLineNumbers w:val="0"/>
        <w:pBdr>
          <w:top w:val="nil"/>
          <w:left w:val="nil"/>
          <w:bottom w:val="nil"/>
          <w:right w:val="nil"/>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ascii="宋体" w:eastAsia="宋体" w:hAnsi="宋体" w:cs="宋体" w:hint="eastAsia"/>
          <w:sz w:val="21"/>
          <w:szCs w:val="21"/>
        </w:rPr>
      </w:pPr>
      <w:r>
        <w:rPr>
          <w:rFonts w:ascii="宋体" w:eastAsia="宋体" w:hAnsi="宋体" w:cs="宋体" w:hint="eastAsia"/>
          <w:i w:val="0"/>
          <w:iCs w:val="0"/>
          <w:caps w:val="0"/>
          <w:color w:val="000000"/>
          <w:spacing w:val="0"/>
          <w:sz w:val="21"/>
          <w:szCs w:val="21"/>
          <w:u w:val="none"/>
          <w:shd w:val="clear" w:color="auto" w:fill="FFFFFF"/>
          <w:vertAlign w:val="baseline"/>
        </w:rPr>
        <w:t>政府采购活动中既有本国产品又有非本国产品参与竞争的，依法对本国产品给予价格评审优惠，</w:t>
      </w:r>
      <w:r>
        <w:rPr>
          <w:rFonts w:ascii="宋体" w:eastAsia="宋体" w:hAnsi="宋体" w:cs="宋体" w:hint="eastAsia"/>
          <w:b/>
          <w:bCs/>
          <w:i w:val="0"/>
          <w:iCs w:val="0"/>
          <w:caps w:val="0"/>
          <w:color w:val="000000"/>
          <w:spacing w:val="0"/>
          <w:sz w:val="21"/>
          <w:szCs w:val="21"/>
          <w:u w:val="none"/>
          <w:shd w:val="clear" w:color="auto" w:fill="FFFFFF"/>
          <w:vertAlign w:val="baseline"/>
        </w:rPr>
        <w:t>对本国产品的报价给予</w:t>
      </w:r>
      <w:r>
        <w:rPr>
          <w:rFonts w:ascii="宋体" w:eastAsia="宋体" w:hAnsi="宋体" w:cs="宋体" w:hint="eastAsia"/>
          <w:b/>
          <w:bCs/>
          <w:i w:val="0"/>
          <w:iCs w:val="0"/>
          <w:caps w:val="0"/>
          <w:color w:val="000000"/>
          <w:spacing w:val="0"/>
          <w:sz w:val="21"/>
          <w:szCs w:val="21"/>
          <w:u w:val="single"/>
          <w:shd w:val="clear" w:color="auto" w:fill="FFFFFF"/>
          <w:vertAlign w:val="baseline"/>
        </w:rPr>
        <w:t>20%</w:t>
      </w:r>
      <w:r>
        <w:rPr>
          <w:rFonts w:ascii="宋体" w:eastAsia="宋体" w:hAnsi="宋体" w:cs="宋体" w:hint="eastAsia"/>
          <w:b/>
          <w:bCs/>
          <w:i w:val="0"/>
          <w:iCs w:val="0"/>
          <w:caps w:val="0"/>
          <w:color w:val="000000"/>
          <w:spacing w:val="0"/>
          <w:sz w:val="21"/>
          <w:szCs w:val="21"/>
          <w:u w:val="none"/>
          <w:shd w:val="clear" w:color="auto" w:fill="FFFFFF"/>
          <w:vertAlign w:val="baseline"/>
        </w:rPr>
        <w:t>的价格扣除，用扣除后的价格参与评审</w:t>
      </w:r>
      <w:r>
        <w:rPr>
          <w:rFonts w:ascii="宋体" w:eastAsia="宋体" w:hAnsi="宋体" w:cs="宋体" w:hint="eastAsia"/>
          <w:i w:val="0"/>
          <w:iCs w:val="0"/>
          <w:caps w:val="0"/>
          <w:color w:val="000000"/>
          <w:spacing w:val="0"/>
          <w:sz w:val="21"/>
          <w:szCs w:val="21"/>
          <w:u w:val="none"/>
          <w:shd w:val="clear" w:color="auto" w:fill="FFFFFF"/>
          <w:vertAlign w:val="baseline"/>
        </w:rPr>
        <w:t>。</w:t>
      </w:r>
    </w:p>
    <w:p>
      <w:pPr>
        <w:pStyle w:val="NormalWeb"/>
        <w:keepNext w:val="0"/>
        <w:keepLines w:val="0"/>
        <w:pageBreakBefore w:val="0"/>
        <w:widowControl/>
        <w:suppressLineNumbers w:val="0"/>
        <w:pBdr>
          <w:top w:val="nil"/>
          <w:left w:val="nil"/>
          <w:bottom w:val="nil"/>
          <w:right w:val="nil"/>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ascii="宋体" w:eastAsia="宋体" w:hAnsi="宋体" w:cs="宋体" w:hint="eastAsia"/>
          <w:i w:val="0"/>
          <w:iCs w:val="0"/>
          <w:caps w:val="0"/>
          <w:color w:val="000000"/>
          <w:spacing w:val="0"/>
          <w:sz w:val="21"/>
          <w:szCs w:val="21"/>
          <w:u w:val="none"/>
          <w:shd w:val="clear" w:color="auto" w:fill="FFFFFF"/>
          <w:vertAlign w:val="baseline"/>
        </w:rPr>
      </w:pPr>
      <w:r>
        <w:rPr>
          <w:rFonts w:ascii="宋体" w:eastAsia="宋体" w:hAnsi="宋体" w:cs="宋体" w:hint="eastAsia"/>
          <w:i w:val="0"/>
          <w:iCs w:val="0"/>
          <w:caps w:val="0"/>
          <w:color w:val="000000"/>
          <w:spacing w:val="0"/>
          <w:sz w:val="21"/>
          <w:szCs w:val="21"/>
          <w:u w:val="none"/>
          <w:shd w:val="clear" w:color="auto" w:fill="FFFFFF"/>
          <w:vertAlign w:val="baseline"/>
        </w:rPr>
        <w:t>当采购项目或者采购包中含有多种产品，供应商为该采购项目或者采购包提供的</w:t>
      </w:r>
      <w:r>
        <w:rPr>
          <w:rFonts w:ascii="宋体" w:eastAsia="宋体" w:hAnsi="宋体" w:cs="宋体" w:hint="eastAsia"/>
          <w:b/>
          <w:bCs/>
          <w:i w:val="0"/>
          <w:iCs w:val="0"/>
          <w:caps w:val="0"/>
          <w:color w:val="000000"/>
          <w:spacing w:val="0"/>
          <w:sz w:val="21"/>
          <w:szCs w:val="21"/>
          <w:u w:val="none"/>
          <w:shd w:val="clear" w:color="auto" w:fill="FFFFFF"/>
          <w:vertAlign w:val="baseline"/>
        </w:rPr>
        <w:t>符合本国产品标准的产品成本之和占该供应商提供的全部产品成本之和的比例达到80%以上时，依法对该供应商提供的全部产品给予价格评审优惠</w:t>
      </w:r>
      <w:r>
        <w:rPr>
          <w:rFonts w:ascii="宋体" w:eastAsia="宋体" w:hAnsi="宋体" w:cs="宋体" w:hint="eastAsia"/>
          <w:i w:val="0"/>
          <w:iCs w:val="0"/>
          <w:caps w:val="0"/>
          <w:color w:val="000000"/>
          <w:spacing w:val="0"/>
          <w:sz w:val="21"/>
          <w:szCs w:val="21"/>
          <w:u w:val="none"/>
          <w:shd w:val="clear" w:color="auto" w:fill="FFFFFF"/>
          <w:vertAlign w:val="baseline"/>
        </w:rPr>
        <w:t>，即对该供应商提供的全部产品的总报价给予20%的价格扣除，用扣除后的价格参与评审。</w:t>
      </w:r>
    </w:p>
    <w:p>
      <w:pPr>
        <w:pStyle w:val="NormalWeb"/>
        <w:keepNext w:val="0"/>
        <w:keepLines w:val="0"/>
        <w:pageBreakBefore w:val="0"/>
        <w:widowControl/>
        <w:suppressLineNumbers w:val="0"/>
        <w:pBdr>
          <w:top w:val="nil"/>
          <w:left w:val="nil"/>
          <w:bottom w:val="nil"/>
          <w:right w:val="nil"/>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ascii="宋体" w:eastAsia="宋体" w:hAnsi="宋体" w:cs="宋体" w:hint="eastAsia"/>
          <w:i w:val="0"/>
          <w:iCs w:val="0"/>
          <w:caps w:val="0"/>
          <w:color w:val="000000"/>
          <w:spacing w:val="0"/>
          <w:sz w:val="21"/>
          <w:szCs w:val="21"/>
          <w:u w:val="none"/>
          <w:shd w:val="clear" w:color="auto" w:fill="FFFFFF"/>
          <w:vertAlign w:val="baseline"/>
          <w:lang w:eastAsia="zh-CN"/>
        </w:rPr>
      </w:pPr>
      <w:r>
        <w:rPr>
          <w:rFonts w:ascii="宋体" w:eastAsia="宋体" w:hAnsi="宋体" w:cs="宋体" w:hint="eastAsia"/>
          <w:i w:val="0"/>
          <w:iCs w:val="0"/>
          <w:caps w:val="0"/>
          <w:color w:val="000000"/>
          <w:spacing w:val="0"/>
          <w:sz w:val="21"/>
          <w:szCs w:val="21"/>
          <w:u w:val="none"/>
          <w:shd w:val="clear" w:color="auto" w:fill="FFFFFF"/>
          <w:vertAlign w:val="baseline"/>
        </w:rPr>
        <w:t>供应商对其提供的产品出具《关于符合本国产品标准的声明函》或财政部会同有关部门规定的有关证明文件。出具符合要求的《声明函》或有关证明文件的，该产品视为本国产品</w:t>
      </w:r>
      <w:r>
        <w:rPr>
          <w:rFonts w:ascii="宋体" w:eastAsia="宋体" w:hAnsi="宋体" w:cs="宋体" w:hint="eastAsia"/>
          <w:i w:val="0"/>
          <w:iCs w:val="0"/>
          <w:caps w:val="0"/>
          <w:color w:val="000000"/>
          <w:spacing w:val="0"/>
          <w:sz w:val="21"/>
          <w:szCs w:val="21"/>
          <w:u w:val="none"/>
          <w:shd w:val="clear" w:color="auto" w:fill="FFFFFF"/>
          <w:vertAlign w:val="baseline"/>
          <w:lang w:eastAsia="zh-CN"/>
        </w:rPr>
        <w:t>，不再要求供应商提供其他证明材料。</w:t>
      </w:r>
    </w:p>
    <w:p>
      <w:pPr>
        <w:pStyle w:val="NormalWeb"/>
        <w:keepNext w:val="0"/>
        <w:keepLines w:val="0"/>
        <w:pageBreakBefore w:val="0"/>
        <w:widowControl/>
        <w:suppressLineNumbers w:val="0"/>
        <w:pBdr>
          <w:top w:val="nil"/>
          <w:left w:val="nil"/>
          <w:bottom w:val="nil"/>
          <w:right w:val="nil"/>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ascii="宋体" w:eastAsia="宋体" w:hAnsi="宋体" w:cs="宋体" w:hint="eastAsia"/>
          <w:i w:val="0"/>
          <w:iCs w:val="0"/>
          <w:caps w:val="0"/>
          <w:color w:val="000000"/>
          <w:spacing w:val="0"/>
          <w:sz w:val="21"/>
          <w:szCs w:val="21"/>
          <w:u w:val="none"/>
          <w:shd w:val="clear" w:color="auto" w:fill="FFFFFF"/>
          <w:vertAlign w:val="baseline"/>
        </w:rPr>
      </w:pPr>
      <w:r>
        <w:rPr>
          <w:rFonts w:ascii="宋体" w:eastAsia="宋体" w:hAnsi="宋体" w:cs="宋体" w:hint="eastAsia"/>
          <w:i w:val="0"/>
          <w:iCs w:val="0"/>
          <w:caps w:val="0"/>
          <w:color w:val="000000"/>
          <w:spacing w:val="0"/>
          <w:sz w:val="21"/>
          <w:szCs w:val="21"/>
          <w:u w:val="none"/>
          <w:shd w:val="clear" w:color="auto"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spacing w:line="360" w:lineRule="auto"/>
        <w:ind w:firstLine="487"/>
        <w:rPr>
          <w:rFonts w:ascii="Times New Roman" w:hAnsi="Times New Roman"/>
          <w:b/>
          <w:bCs/>
          <w:sz w:val="24"/>
          <w:szCs w:val="24"/>
        </w:rPr>
      </w:pPr>
    </w:p>
    <w:p>
      <w:pPr>
        <w:spacing w:line="360" w:lineRule="auto"/>
        <w:ind w:firstLine="420" w:firstLineChars="200"/>
        <w:rPr>
          <w:rFonts w:ascii="宋体" w:hAnsi="宋体"/>
          <w:b/>
          <w:szCs w:val="21"/>
        </w:rPr>
      </w:pPr>
      <w:r>
        <w:rPr>
          <w:rFonts w:ascii="宋体" w:eastAsia="宋体" w:hAnsi="宋体" w:hint="eastAsia"/>
          <w:b/>
          <w:szCs w:val="21"/>
          <w:lang w:eastAsia="zh-CN"/>
        </w:rPr>
        <w:t>六</w:t>
      </w:r>
      <w:r>
        <w:rPr>
          <w:rFonts w:ascii="宋体" w:eastAsia="宋体" w:hAnsi="宋体" w:hint="eastAsia"/>
          <w:b/>
          <w:szCs w:val="21"/>
        </w:rPr>
        <w:t>、</w:t>
      </w:r>
      <w:r>
        <w:rPr>
          <w:rFonts w:ascii="Times New Roman" w:hAnsi="Times New Roman" w:hint="eastAsia"/>
          <w:b/>
          <w:szCs w:val="24"/>
        </w:rPr>
        <w:t>其他说明</w:t>
      </w:r>
    </w:p>
    <w:p>
      <w:pPr>
        <w:spacing w:line="360" w:lineRule="auto"/>
        <w:ind w:firstLine="420" w:firstLineChars="200"/>
        <w:rPr>
          <w:rFonts w:ascii="宋体" w:eastAsia="宋体" w:hAnsi="宋体"/>
          <w:szCs w:val="21"/>
        </w:rPr>
      </w:pPr>
      <w:r>
        <w:rPr>
          <w:rFonts w:ascii="宋体" w:eastAsia="宋体" w:hAnsi="宋体" w:hint="eastAsia"/>
          <w:szCs w:val="24"/>
        </w:rPr>
        <w:t>为缓解中小企业融资难题，深圳市推出政府采购订单融资改革举措。订单融资具体流程及试点金融机构订单融资服务承诺可参阅深圳市政府采购监管网（zfcg.sz.gov.cn）政府采购订单融资栏目。</w:t>
      </w:r>
    </w:p>
    <w:p>
      <w:pPr>
        <w:widowControl/>
        <w:jc w:val="left"/>
        <w:rPr>
          <w:rFonts w:ascii="宋体" w:eastAsia="黑体" w:hAnsi="宋体"/>
          <w:b/>
          <w:bCs/>
          <w:kern w:val="44"/>
          <w:sz w:val="28"/>
          <w:szCs w:val="44"/>
        </w:rPr>
      </w:pPr>
      <w:r>
        <w:rPr>
          <w:rFonts w:ascii="宋体" w:eastAsia="黑体" w:hAnsi="宋体"/>
          <w:b/>
          <w:bCs/>
          <w:kern w:val="44"/>
          <w:sz w:val="28"/>
          <w:szCs w:val="44"/>
        </w:rPr>
        <w:br w:type="page"/>
      </w:r>
    </w:p>
    <w:p>
      <w:pPr>
        <w:keepNext/>
        <w:keepLines/>
        <w:spacing w:before="340" w:after="330" w:line="360" w:lineRule="auto"/>
        <w:jc w:val="center"/>
        <w:outlineLvl w:val="0"/>
        <w:rPr>
          <w:rFonts w:ascii="宋体" w:eastAsia="黑体" w:hAnsi="宋体"/>
          <w:b/>
          <w:bCs/>
          <w:kern w:val="44"/>
          <w:sz w:val="28"/>
          <w:szCs w:val="44"/>
        </w:rPr>
      </w:pPr>
      <w:r>
        <w:rPr>
          <w:rFonts w:ascii="宋体" w:eastAsia="黑体" w:hAnsi="宋体" w:hint="eastAsia"/>
          <w:b/>
          <w:bCs/>
          <w:kern w:val="44"/>
          <w:sz w:val="28"/>
          <w:szCs w:val="44"/>
        </w:rPr>
        <w:t>目   录</w:t>
      </w:r>
    </w:p>
    <w:p>
      <w:pPr>
        <w:rPr>
          <w:rFonts w:ascii="Times New Roman" w:hAnsi="Times New Roman"/>
          <w:b/>
          <w:sz w:val="24"/>
          <w:szCs w:val="24"/>
        </w:rPr>
      </w:pPr>
      <w:r>
        <w:rPr>
          <w:rFonts w:ascii="Times New Roman" w:hAnsi="Times New Roman" w:hint="eastAsia"/>
          <w:b/>
          <w:sz w:val="24"/>
          <w:szCs w:val="24"/>
        </w:rPr>
        <w:t>第一册  专用条款</w:t>
      </w:r>
    </w:p>
    <w:p>
      <w:pPr>
        <w:ind w:left="630" w:firstLine="412" w:leftChars="300" w:firstLineChars="196"/>
        <w:rPr>
          <w:rFonts w:ascii="宋体" w:hAnsi="宋体"/>
          <w:szCs w:val="21"/>
        </w:rPr>
      </w:pPr>
      <w:r>
        <w:rPr>
          <w:rFonts w:ascii="宋体" w:hAnsi="宋体" w:hint="eastAsia"/>
          <w:szCs w:val="21"/>
        </w:rPr>
        <w:t>关键信息</w:t>
      </w:r>
    </w:p>
    <w:p>
      <w:pPr>
        <w:ind w:left="630" w:firstLine="412" w:leftChars="300" w:firstLineChars="196"/>
        <w:rPr>
          <w:rFonts w:ascii="宋体" w:hAnsi="宋体"/>
          <w:szCs w:val="21"/>
        </w:rPr>
      </w:pPr>
      <w:r>
        <w:rPr>
          <w:rFonts w:ascii="宋体" w:hAnsi="宋体" w:hint="eastAsia"/>
          <w:szCs w:val="21"/>
        </w:rPr>
        <w:t>第一章  招标公告</w:t>
      </w:r>
    </w:p>
    <w:p>
      <w:pPr>
        <w:ind w:left="630" w:firstLine="412" w:leftChars="300" w:firstLineChars="196"/>
        <w:rPr>
          <w:rFonts w:ascii="宋体" w:hAnsi="宋体"/>
          <w:szCs w:val="21"/>
        </w:rPr>
      </w:pPr>
      <w:r>
        <w:rPr>
          <w:rFonts w:ascii="宋体" w:hAnsi="宋体" w:hint="eastAsia"/>
          <w:szCs w:val="21"/>
        </w:rPr>
        <w:t>第二章  招标项目需求</w:t>
      </w:r>
    </w:p>
    <w:p>
      <w:pPr>
        <w:ind w:left="630" w:firstLine="412" w:leftChars="300" w:firstLineChars="196"/>
        <w:rPr>
          <w:rFonts w:ascii="宋体" w:hAnsi="宋体"/>
          <w:szCs w:val="21"/>
        </w:rPr>
      </w:pPr>
      <w:r>
        <w:rPr>
          <w:rFonts w:ascii="宋体" w:hAnsi="宋体" w:hint="eastAsia"/>
          <w:szCs w:val="21"/>
        </w:rPr>
        <w:t>第三章  投标文件格式、附件</w:t>
      </w:r>
    </w:p>
    <w:p>
      <w:pPr>
        <w:ind w:left="630" w:firstLine="412" w:leftChars="300" w:firstLineChars="196"/>
        <w:rPr>
          <w:rFonts w:ascii="宋体" w:hAnsi="宋体"/>
          <w:szCs w:val="21"/>
        </w:rPr>
      </w:pPr>
      <w:r>
        <w:rPr>
          <w:rFonts w:ascii="宋体" w:hAnsi="宋体" w:hint="eastAsia"/>
          <w:szCs w:val="21"/>
        </w:rPr>
        <w:t>第四章  合同及履约情况反馈格式</w:t>
      </w:r>
    </w:p>
    <w:p>
      <w:pPr>
        <w:ind w:left="630" w:firstLine="412" w:leftChars="300" w:firstLineChars="196"/>
        <w:rPr>
          <w:rFonts w:ascii="宋体" w:hAnsi="宋体"/>
          <w:szCs w:val="21"/>
        </w:rPr>
      </w:pPr>
      <w:r>
        <w:rPr>
          <w:rFonts w:ascii="宋体" w:hAnsi="宋体" w:hint="eastAsia"/>
          <w:szCs w:val="21"/>
        </w:rPr>
        <w:t>第五章  附件</w:t>
      </w:r>
    </w:p>
    <w:p>
      <w:pPr>
        <w:ind w:left="630" w:firstLine="412" w:leftChars="300" w:firstLineChars="196"/>
        <w:rPr>
          <w:rFonts w:ascii="宋体" w:hAnsi="宋体"/>
          <w:szCs w:val="21"/>
        </w:rPr>
      </w:pPr>
    </w:p>
    <w:p>
      <w:pPr>
        <w:rPr>
          <w:rFonts w:ascii="Times New Roman" w:hAnsi="Times New Roman"/>
          <w:b/>
          <w:sz w:val="24"/>
          <w:szCs w:val="24"/>
        </w:rPr>
      </w:pPr>
    </w:p>
    <w:p>
      <w:pPr>
        <w:rPr>
          <w:rFonts w:ascii="Times New Roman" w:hAnsi="Times New Roman"/>
          <w:b/>
          <w:sz w:val="24"/>
          <w:szCs w:val="24"/>
        </w:rPr>
      </w:pPr>
      <w:r>
        <w:rPr>
          <w:rFonts w:ascii="Times New Roman" w:hAnsi="Times New Roman" w:hint="eastAsia"/>
          <w:b/>
          <w:sz w:val="24"/>
          <w:szCs w:val="24"/>
        </w:rPr>
        <w:t>第二册  通用条款</w:t>
      </w:r>
    </w:p>
    <w:p>
      <w:pPr>
        <w:ind w:left="630" w:firstLine="412" w:leftChars="300" w:firstLineChars="196"/>
        <w:rPr>
          <w:rFonts w:ascii="宋体" w:hAnsi="宋体"/>
          <w:szCs w:val="21"/>
        </w:rPr>
      </w:pPr>
      <w:r>
        <w:rPr>
          <w:rFonts w:ascii="宋体" w:hAnsi="宋体" w:hint="eastAsia"/>
          <w:szCs w:val="21"/>
        </w:rPr>
        <w:t>第一章  总则</w:t>
      </w:r>
    </w:p>
    <w:p>
      <w:pPr>
        <w:ind w:left="630" w:firstLine="412" w:leftChars="300" w:firstLineChars="196"/>
        <w:rPr>
          <w:rFonts w:ascii="宋体" w:hAnsi="宋体"/>
          <w:szCs w:val="21"/>
        </w:rPr>
      </w:pPr>
      <w:r>
        <w:rPr>
          <w:rFonts w:ascii="宋体" w:hAnsi="宋体" w:hint="eastAsia"/>
          <w:szCs w:val="21"/>
        </w:rPr>
        <w:t>第二章  招标文件</w:t>
      </w:r>
    </w:p>
    <w:p>
      <w:pPr>
        <w:ind w:left="630" w:firstLine="412" w:leftChars="300" w:firstLineChars="196"/>
        <w:rPr>
          <w:rFonts w:ascii="宋体" w:hAnsi="宋体"/>
          <w:szCs w:val="21"/>
        </w:rPr>
      </w:pPr>
      <w:r>
        <w:rPr>
          <w:rFonts w:ascii="宋体" w:hAnsi="宋体" w:hint="eastAsia"/>
          <w:szCs w:val="21"/>
        </w:rPr>
        <w:t>第三章  投标文件的编制</w:t>
      </w:r>
    </w:p>
    <w:p>
      <w:pPr>
        <w:ind w:left="630" w:firstLine="412" w:leftChars="300" w:firstLineChars="196"/>
        <w:rPr>
          <w:rFonts w:ascii="宋体" w:hAnsi="宋体"/>
          <w:szCs w:val="21"/>
        </w:rPr>
      </w:pPr>
      <w:r>
        <w:rPr>
          <w:rFonts w:ascii="宋体" w:hAnsi="宋体" w:hint="eastAsia"/>
          <w:szCs w:val="21"/>
        </w:rPr>
        <w:t>第四章  投标文件的递交</w:t>
      </w:r>
    </w:p>
    <w:p>
      <w:pPr>
        <w:ind w:left="630" w:firstLine="412" w:leftChars="300" w:firstLineChars="196"/>
        <w:rPr>
          <w:rFonts w:ascii="宋体" w:hAnsi="宋体"/>
          <w:szCs w:val="21"/>
        </w:rPr>
      </w:pPr>
      <w:r>
        <w:rPr>
          <w:rFonts w:ascii="宋体" w:hAnsi="宋体" w:hint="eastAsia"/>
          <w:szCs w:val="21"/>
        </w:rPr>
        <w:t>第五章  开标</w:t>
      </w:r>
    </w:p>
    <w:p>
      <w:pPr>
        <w:ind w:left="630" w:firstLine="412" w:leftChars="300" w:firstLineChars="196"/>
        <w:rPr>
          <w:rFonts w:ascii="宋体" w:hAnsi="宋体"/>
          <w:szCs w:val="21"/>
        </w:rPr>
      </w:pPr>
      <w:r>
        <w:rPr>
          <w:rFonts w:ascii="宋体" w:hAnsi="宋体" w:hint="eastAsia"/>
          <w:szCs w:val="21"/>
        </w:rPr>
        <w:t>第六章  评标要求</w:t>
      </w:r>
    </w:p>
    <w:p>
      <w:pPr>
        <w:ind w:left="630" w:firstLine="412" w:leftChars="300" w:firstLineChars="196"/>
        <w:rPr>
          <w:rFonts w:ascii="宋体" w:hAnsi="宋体"/>
          <w:szCs w:val="21"/>
        </w:rPr>
      </w:pPr>
      <w:r>
        <w:rPr>
          <w:rFonts w:ascii="宋体" w:hAnsi="宋体" w:hint="eastAsia"/>
          <w:szCs w:val="21"/>
        </w:rPr>
        <w:t>第七章  评标程序及评标方法</w:t>
      </w:r>
    </w:p>
    <w:p>
      <w:pPr>
        <w:ind w:left="630" w:firstLine="412" w:leftChars="300" w:firstLineChars="196"/>
        <w:rPr>
          <w:rFonts w:ascii="宋体" w:hAnsi="宋体"/>
          <w:szCs w:val="21"/>
        </w:rPr>
      </w:pPr>
      <w:r>
        <w:rPr>
          <w:rFonts w:ascii="宋体" w:hAnsi="宋体" w:hint="eastAsia"/>
          <w:szCs w:val="21"/>
        </w:rPr>
        <w:t>第八章  定标及公示</w:t>
      </w:r>
    </w:p>
    <w:p>
      <w:pPr>
        <w:ind w:left="630" w:firstLine="412" w:leftChars="300" w:firstLineChars="196"/>
        <w:rPr>
          <w:rFonts w:ascii="宋体" w:hAnsi="宋体"/>
          <w:szCs w:val="21"/>
        </w:rPr>
      </w:pPr>
      <w:r>
        <w:rPr>
          <w:rFonts w:ascii="宋体" w:hAnsi="宋体" w:hint="eastAsia"/>
          <w:szCs w:val="21"/>
        </w:rPr>
        <w:t>第九章  公开招标失败的后续处理</w:t>
      </w:r>
    </w:p>
    <w:p>
      <w:pPr>
        <w:ind w:left="630" w:firstLine="412" w:leftChars="300" w:firstLineChars="196"/>
        <w:rPr>
          <w:rFonts w:ascii="宋体" w:hAnsi="宋体"/>
          <w:szCs w:val="21"/>
        </w:rPr>
      </w:pPr>
      <w:r>
        <w:rPr>
          <w:rFonts w:ascii="宋体" w:hAnsi="宋体" w:hint="eastAsia"/>
          <w:szCs w:val="21"/>
        </w:rPr>
        <w:t>第十章  合同的授予与备案</w:t>
      </w:r>
    </w:p>
    <w:p>
      <w:pPr>
        <w:ind w:left="630" w:firstLine="412" w:leftChars="300" w:firstLineChars="196"/>
        <w:rPr>
          <w:rFonts w:ascii="宋体" w:hAnsi="宋体"/>
          <w:szCs w:val="21"/>
        </w:rPr>
      </w:pPr>
      <w:r>
        <w:rPr>
          <w:rFonts w:ascii="宋体" w:hAnsi="宋体" w:hint="eastAsia"/>
          <w:szCs w:val="21"/>
        </w:rPr>
        <w:t>第十一章  质疑处理</w:t>
      </w:r>
    </w:p>
    <w:p>
      <w:pPr>
        <w:rPr>
          <w:rFonts w:ascii="Times New Roman" w:hAnsi="Times New Roman"/>
          <w:sz w:val="24"/>
          <w:szCs w:val="24"/>
        </w:rPr>
      </w:pPr>
    </w:p>
    <w:p>
      <w:pPr>
        <w:rPr>
          <w:rFonts w:ascii="Times New Roman" w:hAnsi="Times New Roman"/>
          <w:b/>
          <w:szCs w:val="24"/>
        </w:rPr>
      </w:pPr>
      <w:r>
        <w:rPr>
          <w:rFonts w:ascii="Times New Roman" w:hAnsi="Times New Roman" w:hint="eastAsia"/>
          <w:b/>
          <w:szCs w:val="24"/>
        </w:rPr>
        <w:t>备注：</w:t>
      </w:r>
    </w:p>
    <w:p>
      <w:pPr>
        <w:ind w:firstLine="420" w:firstLineChars="200"/>
        <w:rPr>
          <w:rFonts w:ascii="Times New Roman" w:hAnsi="Times New Roman"/>
          <w:b/>
          <w:szCs w:val="24"/>
        </w:rPr>
      </w:pPr>
      <w:r>
        <w:rPr>
          <w:rFonts w:ascii="宋体" w:hAnsi="宋体" w:hint="eastAsia"/>
          <w:szCs w:val="21"/>
        </w:rPr>
        <w:t>1.本招标文件分为第一册“专用条款”和第二册“通用条款”。</w:t>
      </w:r>
    </w:p>
    <w:p>
      <w:pPr>
        <w:spacing w:line="360" w:lineRule="auto"/>
        <w:ind w:firstLine="420" w:firstLineChars="200"/>
        <w:jc w:val="left"/>
        <w:rPr>
          <w:rFonts w:ascii="宋体" w:hAnsi="宋体"/>
          <w:szCs w:val="21"/>
        </w:rPr>
      </w:pPr>
      <w:r>
        <w:rPr>
          <w:rFonts w:ascii="宋体" w:hAnsi="宋体" w:hint="eastAsia"/>
          <w:szCs w:val="21"/>
        </w:rPr>
        <w:t>2.“专用条款”是对本次采购项目的具体要求，包含招标公告、招标项目需求、投标文件格式、合同及履约情况反馈格式等内容。</w:t>
      </w:r>
    </w:p>
    <w:p>
      <w:pPr>
        <w:spacing w:line="360" w:lineRule="auto"/>
        <w:ind w:firstLine="420" w:firstLineChars="200"/>
        <w:jc w:val="left"/>
        <w:rPr>
          <w:rFonts w:ascii="宋体" w:hAnsi="宋体"/>
          <w:szCs w:val="21"/>
        </w:rPr>
      </w:pPr>
      <w:r>
        <w:rPr>
          <w:rFonts w:ascii="宋体" w:hAnsi="宋体" w:hint="eastAsia"/>
          <w:szCs w:val="21"/>
        </w:rPr>
        <w:t>3.“通用条款”是适用于政府采购项目的基础性条款，具有普遍性和通用性。</w:t>
      </w:r>
    </w:p>
    <w:p>
      <w:pPr>
        <w:spacing w:line="360" w:lineRule="auto"/>
        <w:ind w:firstLine="420" w:firstLineChars="200"/>
        <w:jc w:val="left"/>
        <w:rPr>
          <w:rFonts w:ascii="宋体" w:hAnsi="宋体"/>
          <w:szCs w:val="21"/>
        </w:rPr>
      </w:pPr>
      <w:r>
        <w:rPr>
          <w:rFonts w:ascii="宋体" w:hAnsi="宋体" w:hint="eastAsia"/>
          <w:szCs w:val="21"/>
        </w:rPr>
        <w:t>4.当出现“专用条款”和“通用条款”表述不一致或有冲突时，以“专用条款”为准。</w:t>
      </w:r>
    </w:p>
    <w:p>
      <w:pPr>
        <w:rPr>
          <w:rFonts w:ascii="宋体" w:hAnsi="宋体"/>
          <w:szCs w:val="21"/>
        </w:rPr>
      </w:pPr>
    </w:p>
    <w:p>
      <w:pPr>
        <w:widowControl/>
        <w:jc w:val="left"/>
        <w:rPr>
          <w:rFonts w:ascii="宋体" w:eastAsia="黑体" w:hAnsi="宋体"/>
          <w:b/>
          <w:bCs/>
          <w:kern w:val="44"/>
          <w:sz w:val="28"/>
          <w:szCs w:val="44"/>
        </w:rPr>
      </w:pPr>
    </w:p>
    <w:p>
      <w:pPr>
        <w:rPr>
          <w:rFonts w:ascii="宋体" w:eastAsia="黑体" w:hAnsi="宋体" w:hint="eastAsia"/>
          <w:b/>
          <w:bCs/>
          <w:kern w:val="44"/>
          <w:sz w:val="28"/>
          <w:szCs w:val="44"/>
        </w:rPr>
      </w:pPr>
      <w:r>
        <w:rPr>
          <w:rFonts w:ascii="宋体" w:eastAsia="黑体" w:hAnsi="宋体" w:hint="eastAsia"/>
          <w:b/>
          <w:bCs/>
          <w:kern w:val="44"/>
          <w:sz w:val="28"/>
          <w:szCs w:val="44"/>
        </w:rPr>
        <w:br w:type="page"/>
      </w:r>
    </w:p>
    <w:p>
      <w:pPr>
        <w:keepNext/>
        <w:keepLines/>
        <w:spacing w:before="340" w:after="330" w:line="360" w:lineRule="auto"/>
        <w:jc w:val="center"/>
        <w:outlineLvl w:val="0"/>
        <w:rPr>
          <w:rFonts w:ascii="宋体" w:eastAsia="黑体" w:hAnsi="宋体"/>
          <w:b/>
          <w:bCs/>
          <w:kern w:val="44"/>
          <w:sz w:val="24"/>
          <w:szCs w:val="44"/>
        </w:rPr>
      </w:pPr>
      <w:r>
        <w:rPr>
          <w:rFonts w:ascii="宋体" w:eastAsia="黑体" w:hAnsi="宋体" w:hint="eastAsia"/>
          <w:b/>
          <w:bCs/>
          <w:kern w:val="44"/>
          <w:sz w:val="28"/>
          <w:szCs w:val="44"/>
        </w:rPr>
        <w:t>第一册  专用条款</w:t>
      </w:r>
    </w:p>
    <w:p>
      <w:pPr>
        <w:keepNext/>
        <w:keepLines/>
        <w:adjustRightInd w:val="0"/>
        <w:spacing w:before="260" w:after="260" w:line="360" w:lineRule="exact"/>
        <w:jc w:val="center"/>
        <w:textAlignment w:val="baseline"/>
        <w:outlineLvl w:val="1"/>
        <w:rPr>
          <w:rFonts w:ascii="宋体" w:hAnsi="宋体"/>
          <w:b/>
          <w:bCs/>
          <w:kern w:val="0"/>
          <w:sz w:val="24"/>
          <w:szCs w:val="20"/>
        </w:rPr>
      </w:pPr>
      <w:r>
        <w:rPr>
          <w:rFonts w:ascii="宋体" w:hAnsi="宋体" w:hint="eastAsia"/>
          <w:b/>
          <w:bCs/>
          <w:kern w:val="0"/>
          <w:sz w:val="24"/>
          <w:szCs w:val="20"/>
        </w:rPr>
        <w:t>第一章  招标公告</w:t>
      </w:r>
    </w:p>
    <w:p>
      <w:pPr>
        <w:spacing w:line="360" w:lineRule="exact"/>
        <w:rPr>
          <w:rFonts w:ascii="宋体" w:hAnsi="宋体"/>
          <w:vanish/>
          <w:szCs w:val="21"/>
        </w:rPr>
      </w:pPr>
    </w:p>
    <w:p>
      <w:pPr>
        <w:pStyle w:val="NormalWeb"/>
        <w:keepNext w:val="0"/>
        <w:keepLines w:val="0"/>
        <w:pageBreakBefore w:val="0"/>
        <w:widowControl/>
        <w:kinsoku/>
        <w:wordWrap/>
        <w:overflowPunct/>
        <w:topLinePunct w:val="0"/>
        <w:autoSpaceDE/>
        <w:autoSpaceDN/>
        <w:bidi w:val="0"/>
        <w:spacing w:before="0" w:beforeAutospacing="0" w:after="0" w:afterAutospacing="0" w:line="360" w:lineRule="exact"/>
        <w:textAlignment w:val="auto"/>
        <w:rPr>
          <w:rFonts w:ascii="宋体" w:eastAsia="宋体" w:hAnsi="宋体" w:cs="宋体" w:hint="eastAsia"/>
          <w:sz w:val="21"/>
          <w:szCs w:val="21"/>
        </w:rPr>
      </w:pPr>
      <w:r>
        <w:rPr>
          <w:rFonts w:ascii="宋体" w:eastAsia="宋体" w:hAnsi="宋体" w:cs="宋体" w:hint="eastAsia"/>
          <w:sz w:val="21"/>
          <w:szCs w:val="21"/>
        </w:rPr>
        <w:t>项目概况:</w:t>
      </w:r>
    </w:p>
    <w:p>
      <w:pPr>
        <w:pStyle w:val="NormalWeb"/>
        <w:keepNext w:val="0"/>
        <w:keepLines w:val="0"/>
        <w:pageBreakBefore w:val="0"/>
        <w:widowControl/>
        <w:kinsoku/>
        <w:wordWrap/>
        <w:overflowPunct/>
        <w:topLinePunct w:val="0"/>
        <w:autoSpaceDE/>
        <w:autoSpaceDN/>
        <w:bidi w:val="0"/>
        <w:spacing w:before="0" w:beforeAutospacing="0" w:after="0" w:afterAutospacing="0" w:line="360" w:lineRule="exact"/>
        <w:ind w:firstLine="424" w:firstLineChars="202"/>
        <w:textAlignment w:val="auto"/>
        <w:rPr>
          <w:rFonts w:ascii="宋体" w:eastAsia="宋体" w:hAnsi="宋体" w:cs="宋体" w:hint="eastAsia"/>
          <w:sz w:val="21"/>
          <w:szCs w:val="21"/>
        </w:rPr>
      </w:pPr>
      <w:r>
        <w:rPr>
          <w:rFonts w:cs="宋体" w:hint="eastAsia"/>
          <w:sz w:val="21"/>
          <w:szCs w:val="21"/>
          <w:lang w:eastAsia="zh-CN"/>
        </w:rPr>
        <w:t>深圳市宝安区拘留所医疗服务</w:t>
      </w:r>
      <w:r>
        <w:rPr>
          <w:rFonts w:ascii="宋体" w:eastAsia="宋体" w:hAnsi="宋体" w:cs="宋体" w:hint="eastAsia"/>
          <w:sz w:val="21"/>
          <w:szCs w:val="21"/>
        </w:rPr>
        <w:t xml:space="preserve">招标项目的潜在投标人应在（本公告附件中）获取招标文件，并于 </w:t>
      </w:r>
      <w:r>
        <w:rPr>
          <w:rFonts w:cs="宋体" w:hint="eastAsia"/>
          <w:b/>
          <w:sz w:val="21"/>
          <w:szCs w:val="21"/>
          <w:u w:val="single"/>
          <w:lang w:eastAsia="zh-CN"/>
        </w:rPr>
        <w:t>2026年</w:t>
      </w:r>
      <w:r>
        <w:rPr>
          <w:rFonts w:cs="宋体" w:hint="eastAsia"/>
          <w:b/>
          <w:sz w:val="21"/>
          <w:szCs w:val="21"/>
          <w:u w:val="single"/>
          <w:lang w:val="en-US" w:eastAsia="zh-CN"/>
        </w:rPr>
        <w:t>2</w:t>
      </w:r>
      <w:r>
        <w:rPr>
          <w:rFonts w:ascii="宋体" w:eastAsia="宋体" w:hAnsi="宋体" w:cs="宋体" w:hint="eastAsia"/>
          <w:b/>
          <w:sz w:val="21"/>
          <w:szCs w:val="21"/>
          <w:u w:val="single"/>
        </w:rPr>
        <w:t>月</w:t>
      </w:r>
      <w:r>
        <w:rPr>
          <w:rFonts w:cs="宋体" w:hint="eastAsia"/>
          <w:b/>
          <w:sz w:val="21"/>
          <w:szCs w:val="21"/>
          <w:u w:val="single"/>
          <w:lang w:val="en-US" w:eastAsia="zh-CN"/>
        </w:rPr>
        <w:t>25</w:t>
      </w:r>
      <w:r>
        <w:rPr>
          <w:rFonts w:ascii="宋体" w:eastAsia="宋体" w:hAnsi="宋体" w:cs="宋体" w:hint="eastAsia"/>
          <w:b/>
          <w:sz w:val="21"/>
          <w:szCs w:val="21"/>
          <w:u w:val="single"/>
        </w:rPr>
        <w:t>日</w:t>
      </w:r>
      <w:r>
        <w:rPr>
          <w:rFonts w:cs="宋体" w:hint="eastAsia"/>
          <w:b/>
          <w:sz w:val="21"/>
          <w:szCs w:val="21"/>
          <w:u w:val="single"/>
          <w:lang w:val="en-US" w:eastAsia="zh-CN"/>
        </w:rPr>
        <w:t>9</w:t>
      </w:r>
      <w:r>
        <w:rPr>
          <w:rFonts w:ascii="宋体" w:eastAsia="宋体" w:hAnsi="宋体" w:cs="宋体" w:hint="eastAsia"/>
          <w:b/>
          <w:sz w:val="21"/>
          <w:szCs w:val="21"/>
          <w:u w:val="single"/>
        </w:rPr>
        <w:t>:00（北京时间）</w:t>
      </w:r>
      <w:r>
        <w:rPr>
          <w:rFonts w:ascii="宋体" w:eastAsia="宋体" w:hAnsi="宋体" w:cs="宋体" w:hint="eastAsia"/>
          <w:sz w:val="21"/>
          <w:szCs w:val="21"/>
        </w:rPr>
        <w:t xml:space="preserve">前递交投标文件。 </w:t>
      </w:r>
    </w:p>
    <w:p>
      <w:pPr>
        <w:pStyle w:val="NormalWeb"/>
        <w:keepNext w:val="0"/>
        <w:keepLines w:val="0"/>
        <w:pageBreakBefore w:val="0"/>
        <w:widowControl/>
        <w:kinsoku/>
        <w:wordWrap/>
        <w:overflowPunct/>
        <w:topLinePunct w:val="0"/>
        <w:autoSpaceDE/>
        <w:autoSpaceDN/>
        <w:bidi w:val="0"/>
        <w:spacing w:before="0" w:beforeAutospacing="0" w:after="0" w:afterAutospacing="0" w:line="360" w:lineRule="exact"/>
        <w:textAlignment w:val="auto"/>
        <w:rPr>
          <w:rFonts w:ascii="宋体" w:eastAsia="宋体" w:hAnsi="宋体" w:cs="宋体" w:hint="eastAsia"/>
          <w:sz w:val="21"/>
          <w:szCs w:val="21"/>
        </w:rPr>
      </w:pPr>
    </w:p>
    <w:p>
      <w:pPr>
        <w:pStyle w:val="NormalWeb"/>
        <w:keepNext w:val="0"/>
        <w:keepLines w:val="0"/>
        <w:pageBreakBefore w:val="0"/>
        <w:widowControl/>
        <w:kinsoku/>
        <w:wordWrap/>
        <w:overflowPunct/>
        <w:topLinePunct w:val="0"/>
        <w:autoSpaceDE/>
        <w:autoSpaceDN/>
        <w:bidi w:val="0"/>
        <w:spacing w:before="0" w:beforeAutospacing="0" w:after="0" w:afterAutospacing="0" w:line="360" w:lineRule="exact"/>
        <w:textAlignment w:val="auto"/>
        <w:rPr>
          <w:rFonts w:ascii="宋体" w:eastAsia="宋体" w:hAnsi="宋体" w:cs="宋体" w:hint="eastAsia"/>
          <w:sz w:val="21"/>
          <w:szCs w:val="21"/>
        </w:rPr>
      </w:pPr>
      <w:r>
        <w:rPr>
          <w:rFonts w:ascii="宋体" w:eastAsia="宋体" w:hAnsi="宋体" w:cs="宋体" w:hint="eastAsia"/>
          <w:sz w:val="21"/>
          <w:szCs w:val="21"/>
        </w:rPr>
        <w:t>一、项目基本情况</w:t>
      </w:r>
    </w:p>
    <w:p>
      <w:pPr>
        <w:pStyle w:val="NormalWeb"/>
        <w:keepNext w:val="0"/>
        <w:keepLines w:val="0"/>
        <w:pageBreakBefore w:val="0"/>
        <w:widowControl/>
        <w:kinsoku/>
        <w:wordWrap/>
        <w:overflowPunct/>
        <w:topLinePunct w:val="0"/>
        <w:autoSpaceDE/>
        <w:autoSpaceDN/>
        <w:bidi w:val="0"/>
        <w:spacing w:before="0" w:beforeAutospacing="0" w:after="0" w:afterAutospacing="0" w:line="360" w:lineRule="exact"/>
        <w:ind w:firstLine="424" w:firstLineChars="202"/>
        <w:textAlignment w:val="auto"/>
        <w:rPr>
          <w:rFonts w:ascii="宋体" w:eastAsia="宋体" w:hAnsi="宋体" w:cs="宋体" w:hint="eastAsia"/>
          <w:sz w:val="21"/>
          <w:szCs w:val="21"/>
          <w:lang w:eastAsia="zh-CN"/>
        </w:rPr>
      </w:pPr>
      <w:r>
        <w:rPr>
          <w:rFonts w:ascii="宋体" w:eastAsia="宋体" w:hAnsi="宋体" w:cs="宋体" w:hint="eastAsia"/>
          <w:sz w:val="21"/>
          <w:szCs w:val="21"/>
        </w:rPr>
        <w:t>1</w:t>
      </w:r>
      <w:r>
        <w:rPr>
          <w:rFonts w:ascii="宋体" w:eastAsia="宋体" w:hAnsi="宋体" w:cs="宋体" w:hint="eastAsia"/>
          <w:sz w:val="21"/>
          <w:szCs w:val="21"/>
          <w:lang w:val="en-US" w:eastAsia="zh-CN"/>
        </w:rPr>
        <w:t>.</w:t>
      </w:r>
      <w:r>
        <w:rPr>
          <w:rFonts w:ascii="宋体" w:eastAsia="宋体" w:hAnsi="宋体" w:cs="宋体" w:hint="eastAsia"/>
          <w:sz w:val="21"/>
          <w:szCs w:val="21"/>
        </w:rPr>
        <w:t>项目编号：</w:t>
      </w:r>
      <w:r>
        <w:rPr>
          <w:rFonts w:cs="宋体" w:hint="eastAsia"/>
          <w:sz w:val="21"/>
          <w:szCs w:val="21"/>
          <w:lang w:eastAsia="zh-CN"/>
        </w:rPr>
        <w:t>BADL2026000016</w:t>
      </w:r>
    </w:p>
    <w:p>
      <w:pPr>
        <w:pStyle w:val="NormalWeb"/>
        <w:keepNext w:val="0"/>
        <w:keepLines w:val="0"/>
        <w:pageBreakBefore w:val="0"/>
        <w:widowControl/>
        <w:kinsoku/>
        <w:wordWrap/>
        <w:overflowPunct/>
        <w:topLinePunct w:val="0"/>
        <w:autoSpaceDE/>
        <w:autoSpaceDN/>
        <w:bidi w:val="0"/>
        <w:spacing w:before="0" w:beforeAutospacing="0" w:after="0" w:afterAutospacing="0" w:line="360" w:lineRule="exact"/>
        <w:ind w:firstLine="424" w:firstLineChars="202"/>
        <w:textAlignment w:val="auto"/>
        <w:rPr>
          <w:rFonts w:ascii="宋体" w:eastAsia="宋体" w:hAnsi="宋体" w:cs="宋体" w:hint="eastAsia"/>
          <w:sz w:val="21"/>
          <w:szCs w:val="21"/>
          <w:lang w:eastAsia="zh-CN"/>
        </w:rPr>
      </w:pPr>
      <w:r>
        <w:rPr>
          <w:rFonts w:ascii="宋体" w:eastAsia="宋体" w:hAnsi="宋体" w:cs="宋体" w:hint="eastAsia"/>
          <w:sz w:val="21"/>
          <w:szCs w:val="21"/>
        </w:rPr>
        <w:t>2</w:t>
      </w:r>
      <w:r>
        <w:rPr>
          <w:rFonts w:ascii="宋体" w:eastAsia="宋体" w:hAnsi="宋体" w:cs="宋体" w:hint="eastAsia"/>
          <w:sz w:val="21"/>
          <w:szCs w:val="21"/>
          <w:lang w:val="en-US" w:eastAsia="zh-CN"/>
        </w:rPr>
        <w:t>.</w:t>
      </w:r>
      <w:r>
        <w:rPr>
          <w:rFonts w:ascii="宋体" w:eastAsia="宋体" w:hAnsi="宋体" w:cs="宋体" w:hint="eastAsia"/>
          <w:sz w:val="21"/>
          <w:szCs w:val="21"/>
        </w:rPr>
        <w:t>项目名称：</w:t>
      </w:r>
      <w:r>
        <w:rPr>
          <w:rFonts w:cs="宋体" w:hint="eastAsia"/>
          <w:sz w:val="21"/>
          <w:szCs w:val="21"/>
          <w:lang w:eastAsia="zh-CN"/>
        </w:rPr>
        <w:t>深圳市宝安区拘留所医疗服务</w:t>
      </w:r>
    </w:p>
    <w:p>
      <w:pPr>
        <w:pStyle w:val="NormalWeb"/>
        <w:keepNext w:val="0"/>
        <w:keepLines w:val="0"/>
        <w:pageBreakBefore w:val="0"/>
        <w:widowControl/>
        <w:kinsoku/>
        <w:wordWrap/>
        <w:overflowPunct/>
        <w:topLinePunct w:val="0"/>
        <w:autoSpaceDE/>
        <w:autoSpaceDN/>
        <w:bidi w:val="0"/>
        <w:spacing w:before="0" w:beforeAutospacing="0" w:after="0" w:afterAutospacing="0" w:line="360" w:lineRule="exact"/>
        <w:ind w:firstLine="424" w:firstLineChars="202"/>
        <w:textAlignment w:val="auto"/>
        <w:rPr>
          <w:rFonts w:ascii="宋体" w:eastAsia="宋体" w:hAnsi="宋体" w:cs="宋体" w:hint="eastAsia"/>
          <w:sz w:val="21"/>
          <w:szCs w:val="21"/>
          <w:lang w:eastAsia="zh-CN"/>
        </w:rPr>
      </w:pPr>
      <w:r>
        <w:rPr>
          <w:rFonts w:ascii="宋体" w:eastAsia="宋体" w:hAnsi="宋体" w:cs="宋体" w:hint="eastAsia"/>
          <w:sz w:val="21"/>
          <w:szCs w:val="21"/>
        </w:rPr>
        <w:t>3</w:t>
      </w:r>
      <w:r>
        <w:rPr>
          <w:rFonts w:ascii="宋体" w:eastAsia="宋体" w:hAnsi="宋体" w:cs="宋体" w:hint="eastAsia"/>
          <w:sz w:val="21"/>
          <w:szCs w:val="21"/>
          <w:lang w:val="en-US" w:eastAsia="zh-CN"/>
        </w:rPr>
        <w:t>.</w:t>
      </w:r>
      <w:r>
        <w:rPr>
          <w:rFonts w:ascii="宋体" w:eastAsia="宋体" w:hAnsi="宋体" w:cs="宋体" w:hint="eastAsia"/>
          <w:sz w:val="21"/>
          <w:szCs w:val="21"/>
        </w:rPr>
        <w:t>预算金额：</w:t>
      </w:r>
      <w:r>
        <w:rPr>
          <w:rFonts w:cs="宋体" w:hint="eastAsia"/>
          <w:sz w:val="21"/>
          <w:szCs w:val="21"/>
          <w:lang w:val="en-US" w:eastAsia="zh-CN"/>
        </w:rPr>
        <w:t>人民币4,680,000.00</w:t>
      </w:r>
      <w:r>
        <w:rPr>
          <w:rFonts w:cs="宋体" w:hint="eastAsia"/>
          <w:sz w:val="21"/>
          <w:szCs w:val="21"/>
          <w:lang w:eastAsia="zh-CN"/>
        </w:rPr>
        <w:t>元</w:t>
      </w:r>
    </w:p>
    <w:p>
      <w:pPr>
        <w:pStyle w:val="NormalWeb"/>
        <w:keepNext w:val="0"/>
        <w:keepLines w:val="0"/>
        <w:pageBreakBefore w:val="0"/>
        <w:widowControl/>
        <w:kinsoku/>
        <w:wordWrap/>
        <w:overflowPunct/>
        <w:topLinePunct w:val="0"/>
        <w:autoSpaceDE/>
        <w:autoSpaceDN/>
        <w:bidi w:val="0"/>
        <w:spacing w:before="0" w:beforeAutospacing="0" w:after="0" w:afterAutospacing="0" w:line="360" w:lineRule="exact"/>
        <w:ind w:firstLine="424" w:firstLineChars="202"/>
        <w:textAlignment w:val="auto"/>
        <w:rPr>
          <w:rFonts w:ascii="宋体" w:eastAsia="宋体" w:hAnsi="宋体" w:cs="宋体" w:hint="eastAsia"/>
          <w:sz w:val="21"/>
          <w:szCs w:val="21"/>
        </w:rPr>
      </w:pPr>
      <w:r>
        <w:rPr>
          <w:rFonts w:ascii="宋体" w:eastAsia="宋体" w:hAnsi="宋体" w:cs="宋体" w:hint="eastAsia"/>
          <w:sz w:val="21"/>
          <w:szCs w:val="21"/>
        </w:rPr>
        <w:t>4</w:t>
      </w:r>
      <w:r>
        <w:rPr>
          <w:rFonts w:ascii="宋体" w:eastAsia="宋体" w:hAnsi="宋体" w:cs="宋体" w:hint="eastAsia"/>
          <w:sz w:val="21"/>
          <w:szCs w:val="21"/>
          <w:lang w:val="en-US" w:eastAsia="zh-CN"/>
        </w:rPr>
        <w:t>.</w:t>
      </w:r>
      <w:r>
        <w:rPr>
          <w:rFonts w:ascii="宋体" w:eastAsia="宋体" w:hAnsi="宋体" w:cs="宋体" w:hint="eastAsia"/>
          <w:sz w:val="21"/>
          <w:szCs w:val="21"/>
        </w:rPr>
        <w:t>最高限价：</w:t>
      </w:r>
      <w:r>
        <w:rPr>
          <w:rFonts w:cs="宋体" w:hint="eastAsia"/>
          <w:sz w:val="21"/>
          <w:szCs w:val="21"/>
          <w:lang w:val="en-US" w:eastAsia="zh-CN"/>
        </w:rPr>
        <w:t>人民币4,680,000.00</w:t>
      </w:r>
      <w:r>
        <w:rPr>
          <w:rFonts w:cs="宋体" w:hint="eastAsia"/>
          <w:sz w:val="21"/>
          <w:szCs w:val="21"/>
          <w:lang w:eastAsia="zh-CN"/>
        </w:rPr>
        <w:t>元</w:t>
      </w:r>
    </w:p>
    <w:p>
      <w:pPr>
        <w:pStyle w:val="NormalWeb"/>
        <w:keepNext w:val="0"/>
        <w:keepLines w:val="0"/>
        <w:pageBreakBefore w:val="0"/>
        <w:widowControl/>
        <w:kinsoku/>
        <w:wordWrap/>
        <w:overflowPunct/>
        <w:topLinePunct w:val="0"/>
        <w:autoSpaceDE/>
        <w:autoSpaceDN/>
        <w:bidi w:val="0"/>
        <w:spacing w:before="0" w:beforeAutospacing="0" w:after="0" w:afterAutospacing="0" w:line="360" w:lineRule="exact"/>
        <w:ind w:firstLine="424" w:firstLineChars="202"/>
        <w:textAlignment w:val="auto"/>
        <w:rPr>
          <w:rFonts w:ascii="宋体" w:eastAsia="宋体" w:hAnsi="宋体" w:cs="宋体" w:hint="eastAsia"/>
          <w:sz w:val="21"/>
          <w:szCs w:val="21"/>
        </w:rPr>
      </w:pPr>
      <w:r>
        <w:rPr>
          <w:rFonts w:ascii="宋体" w:eastAsia="宋体" w:hAnsi="宋体" w:cs="宋体" w:hint="eastAsia"/>
          <w:sz w:val="21"/>
          <w:szCs w:val="21"/>
        </w:rPr>
        <w:t>5</w:t>
      </w:r>
      <w:r>
        <w:rPr>
          <w:rFonts w:ascii="宋体" w:eastAsia="宋体" w:hAnsi="宋体" w:cs="宋体" w:hint="eastAsia"/>
          <w:sz w:val="21"/>
          <w:szCs w:val="21"/>
          <w:lang w:val="en-US" w:eastAsia="zh-CN"/>
        </w:rPr>
        <w:t>.</w:t>
      </w:r>
      <w:r>
        <w:rPr>
          <w:rFonts w:ascii="宋体" w:eastAsia="宋体" w:hAnsi="宋体" w:cs="宋体" w:hint="eastAsia"/>
          <w:sz w:val="21"/>
          <w:szCs w:val="21"/>
        </w:rPr>
        <w:t>采购需求：</w:t>
      </w:r>
    </w:p>
    <w:tbl>
      <w:tblPr>
        <w:tblStyle w:val="TableNormal"/>
        <w:tblW w:w="0" w:type="auto"/>
        <w:tblInd w:w="60" w:type="dxa"/>
        <w:tblBorders>
          <w:top w:val="outset" w:sz="6" w:space="0" w:color="AAAAAA"/>
          <w:left w:val="outset" w:sz="6" w:space="0" w:color="AAAAAA"/>
          <w:bottom w:val="outset" w:sz="6" w:space="0" w:color="AAAAAA"/>
          <w:right w:val="outset" w:sz="6" w:space="0" w:color="AAAAAA"/>
          <w:insideH w:val="outset" w:sz="6" w:space="0" w:color="AAAAAA"/>
          <w:insideV w:val="outset" w:sz="6" w:space="0" w:color="AAAAAA"/>
        </w:tblBorders>
        <w:tblLayout w:type="fixed"/>
        <w:tblCellMar>
          <w:top w:w="60" w:type="dxa"/>
          <w:left w:w="60" w:type="dxa"/>
          <w:bottom w:w="60" w:type="dxa"/>
          <w:right w:w="60" w:type="dxa"/>
        </w:tblCellMar>
      </w:tblPr>
      <w:tblGrid>
        <w:gridCol w:w="3261"/>
        <w:gridCol w:w="850"/>
        <w:gridCol w:w="992"/>
        <w:gridCol w:w="2552"/>
        <w:gridCol w:w="850"/>
      </w:tblGrid>
      <w:tr>
        <w:tblPrEx>
          <w:tblW w:w="0" w:type="auto"/>
          <w:tblInd w:w="60" w:type="dxa"/>
          <w:tblBorders>
            <w:top w:val="outset" w:sz="6" w:space="0" w:color="AAAAAA"/>
            <w:left w:val="outset" w:sz="6" w:space="0" w:color="AAAAAA"/>
            <w:bottom w:val="outset" w:sz="6" w:space="0" w:color="AAAAAA"/>
            <w:right w:val="outset" w:sz="6" w:space="0" w:color="AAAAAA"/>
            <w:insideH w:val="outset" w:sz="6" w:space="0" w:color="AAAAAA"/>
            <w:insideV w:val="outset" w:sz="6" w:space="0" w:color="AAAAAA"/>
          </w:tblBorders>
          <w:tblLayout w:type="fixed"/>
          <w:tblCellMar>
            <w:top w:w="60" w:type="dxa"/>
            <w:left w:w="60" w:type="dxa"/>
            <w:bottom w:w="60" w:type="dxa"/>
            <w:right w:w="60" w:type="dxa"/>
          </w:tblCellMar>
        </w:tblPrEx>
        <w:trPr>
          <w:trHeight w:val="462"/>
        </w:trPr>
        <w:tc>
          <w:tcPr>
            <w:tcW w:w="3261" w:type="dxa"/>
            <w:tcBorders>
              <w:top w:val="outset" w:sz="6" w:space="0" w:color="AAAAAA"/>
              <w:left w:val="outset" w:sz="6" w:space="0" w:color="AAAAAA"/>
              <w:bottom w:val="outset" w:sz="6" w:space="0" w:color="AAAAAA"/>
              <w:right w:val="outset" w:sz="6" w:space="0" w:color="AAAAAA"/>
            </w:tcBorders>
            <w:shd w:val="clear" w:color="auto" w:fill="ABCDEF"/>
            <w:noWrap w:val="0"/>
            <w:vAlign w:val="center"/>
          </w:tcPr>
          <w:p>
            <w:pPr>
              <w:keepNext w:val="0"/>
              <w:keepLines w:val="0"/>
              <w:pageBreakBefore w:val="0"/>
              <w:widowControl/>
              <w:kinsoku/>
              <w:wordWrap/>
              <w:overflowPunct/>
              <w:topLinePunct w:val="0"/>
              <w:autoSpaceDE/>
              <w:autoSpaceDN/>
              <w:bidi w:val="0"/>
              <w:spacing w:beforeAutospacing="0" w:afterAutospacing="0" w:line="360" w:lineRule="exact"/>
              <w:jc w:val="center"/>
              <w:textAlignment w:val="auto"/>
              <w:rPr>
                <w:rFonts w:ascii="宋体" w:eastAsia="宋体" w:hAnsi="宋体" w:cs="宋体" w:hint="eastAsia"/>
                <w:sz w:val="21"/>
                <w:szCs w:val="21"/>
              </w:rPr>
            </w:pPr>
            <w:r>
              <w:rPr>
                <w:rFonts w:ascii="宋体" w:eastAsia="宋体" w:hAnsi="宋体" w:cs="宋体" w:hint="eastAsia"/>
                <w:sz w:val="21"/>
                <w:szCs w:val="21"/>
              </w:rPr>
              <w:t>标的名称</w:t>
            </w:r>
          </w:p>
        </w:tc>
        <w:tc>
          <w:tcPr>
            <w:tcW w:w="850" w:type="dxa"/>
            <w:tcBorders>
              <w:top w:val="outset" w:sz="6" w:space="0" w:color="AAAAAA"/>
              <w:left w:val="outset" w:sz="6" w:space="0" w:color="AAAAAA"/>
              <w:bottom w:val="outset" w:sz="6" w:space="0" w:color="AAAAAA"/>
              <w:right w:val="outset" w:sz="6" w:space="0" w:color="AAAAAA"/>
            </w:tcBorders>
            <w:shd w:val="clear" w:color="auto" w:fill="ABCDEF"/>
            <w:noWrap w:val="0"/>
            <w:vAlign w:val="center"/>
          </w:tcPr>
          <w:p>
            <w:pPr>
              <w:keepNext w:val="0"/>
              <w:keepLines w:val="0"/>
              <w:pageBreakBefore w:val="0"/>
              <w:widowControl/>
              <w:kinsoku/>
              <w:wordWrap/>
              <w:overflowPunct/>
              <w:topLinePunct w:val="0"/>
              <w:autoSpaceDE/>
              <w:autoSpaceDN/>
              <w:bidi w:val="0"/>
              <w:spacing w:beforeAutospacing="0" w:afterAutospacing="0" w:line="360" w:lineRule="exact"/>
              <w:jc w:val="center"/>
              <w:textAlignment w:val="auto"/>
              <w:rPr>
                <w:rFonts w:ascii="宋体" w:eastAsia="宋体" w:hAnsi="宋体" w:cs="宋体" w:hint="eastAsia"/>
                <w:sz w:val="21"/>
                <w:szCs w:val="21"/>
              </w:rPr>
            </w:pPr>
            <w:r>
              <w:rPr>
                <w:rFonts w:ascii="宋体" w:eastAsia="宋体" w:hAnsi="宋体" w:cs="宋体" w:hint="eastAsia"/>
                <w:sz w:val="21"/>
                <w:szCs w:val="21"/>
              </w:rPr>
              <w:t>数量</w:t>
            </w:r>
          </w:p>
        </w:tc>
        <w:tc>
          <w:tcPr>
            <w:tcW w:w="992" w:type="dxa"/>
            <w:tcBorders>
              <w:top w:val="outset" w:sz="6" w:space="0" w:color="AAAAAA"/>
              <w:left w:val="outset" w:sz="6" w:space="0" w:color="AAAAAA"/>
              <w:bottom w:val="outset" w:sz="6" w:space="0" w:color="AAAAAA"/>
              <w:right w:val="outset" w:sz="6" w:space="0" w:color="AAAAAA"/>
            </w:tcBorders>
            <w:shd w:val="clear" w:color="auto" w:fill="ABCDEF"/>
            <w:noWrap w:val="0"/>
            <w:vAlign w:val="center"/>
          </w:tcPr>
          <w:p>
            <w:pPr>
              <w:keepNext w:val="0"/>
              <w:keepLines w:val="0"/>
              <w:pageBreakBefore w:val="0"/>
              <w:widowControl/>
              <w:kinsoku/>
              <w:wordWrap/>
              <w:overflowPunct/>
              <w:topLinePunct w:val="0"/>
              <w:autoSpaceDE/>
              <w:autoSpaceDN/>
              <w:bidi w:val="0"/>
              <w:spacing w:beforeAutospacing="0" w:afterAutospacing="0" w:line="360" w:lineRule="exact"/>
              <w:jc w:val="center"/>
              <w:textAlignment w:val="auto"/>
              <w:rPr>
                <w:rFonts w:ascii="宋体" w:eastAsia="宋体" w:hAnsi="宋体" w:cs="宋体" w:hint="eastAsia"/>
                <w:sz w:val="21"/>
                <w:szCs w:val="21"/>
              </w:rPr>
            </w:pPr>
            <w:r>
              <w:rPr>
                <w:rFonts w:ascii="宋体" w:eastAsia="宋体" w:hAnsi="宋体" w:cs="宋体" w:hint="eastAsia"/>
                <w:sz w:val="21"/>
                <w:szCs w:val="21"/>
              </w:rPr>
              <w:t>单位</w:t>
            </w:r>
          </w:p>
        </w:tc>
        <w:tc>
          <w:tcPr>
            <w:tcW w:w="2552" w:type="dxa"/>
            <w:tcBorders>
              <w:top w:val="outset" w:sz="6" w:space="0" w:color="AAAAAA"/>
              <w:left w:val="outset" w:sz="6" w:space="0" w:color="AAAAAA"/>
              <w:bottom w:val="outset" w:sz="6" w:space="0" w:color="AAAAAA"/>
              <w:right w:val="outset" w:sz="6" w:space="0" w:color="AAAAAA"/>
            </w:tcBorders>
            <w:shd w:val="clear" w:color="auto" w:fill="ABCDEF"/>
            <w:noWrap w:val="0"/>
            <w:vAlign w:val="center"/>
          </w:tcPr>
          <w:p>
            <w:pPr>
              <w:keepNext w:val="0"/>
              <w:keepLines w:val="0"/>
              <w:pageBreakBefore w:val="0"/>
              <w:widowControl/>
              <w:kinsoku/>
              <w:wordWrap/>
              <w:overflowPunct/>
              <w:topLinePunct w:val="0"/>
              <w:autoSpaceDE/>
              <w:autoSpaceDN/>
              <w:bidi w:val="0"/>
              <w:spacing w:beforeAutospacing="0" w:afterAutospacing="0" w:line="360" w:lineRule="exact"/>
              <w:jc w:val="center"/>
              <w:textAlignment w:val="auto"/>
              <w:rPr>
                <w:rFonts w:ascii="宋体" w:eastAsia="宋体" w:hAnsi="宋体" w:cs="宋体" w:hint="eastAsia"/>
                <w:sz w:val="21"/>
                <w:szCs w:val="21"/>
              </w:rPr>
            </w:pPr>
            <w:r>
              <w:rPr>
                <w:rFonts w:ascii="宋体" w:eastAsia="宋体" w:hAnsi="宋体" w:cs="宋体" w:hint="eastAsia"/>
                <w:sz w:val="21"/>
                <w:szCs w:val="21"/>
              </w:rPr>
              <w:t>简要技术需求（服务需求）</w:t>
            </w:r>
          </w:p>
        </w:tc>
        <w:tc>
          <w:tcPr>
            <w:tcW w:w="850" w:type="dxa"/>
            <w:tcBorders>
              <w:top w:val="outset" w:sz="6" w:space="0" w:color="AAAAAA"/>
              <w:left w:val="outset" w:sz="6" w:space="0" w:color="AAAAAA"/>
              <w:bottom w:val="outset" w:sz="6" w:space="0" w:color="AAAAAA"/>
              <w:right w:val="outset" w:sz="6" w:space="0" w:color="AAAAAA"/>
            </w:tcBorders>
            <w:shd w:val="clear" w:color="auto" w:fill="ABCDEF"/>
            <w:noWrap w:val="0"/>
            <w:vAlign w:val="center"/>
          </w:tcPr>
          <w:p>
            <w:pPr>
              <w:keepNext w:val="0"/>
              <w:keepLines w:val="0"/>
              <w:pageBreakBefore w:val="0"/>
              <w:widowControl/>
              <w:kinsoku/>
              <w:wordWrap/>
              <w:overflowPunct/>
              <w:topLinePunct w:val="0"/>
              <w:autoSpaceDE/>
              <w:autoSpaceDN/>
              <w:bidi w:val="0"/>
              <w:spacing w:beforeAutospacing="0" w:afterAutospacing="0" w:line="360" w:lineRule="exact"/>
              <w:jc w:val="center"/>
              <w:textAlignment w:val="auto"/>
              <w:rPr>
                <w:rFonts w:ascii="宋体" w:eastAsia="宋体" w:hAnsi="宋体" w:cs="宋体" w:hint="eastAsia"/>
                <w:sz w:val="21"/>
                <w:szCs w:val="21"/>
              </w:rPr>
            </w:pPr>
            <w:r>
              <w:rPr>
                <w:rFonts w:ascii="宋体" w:eastAsia="宋体" w:hAnsi="宋体" w:cs="宋体" w:hint="eastAsia"/>
                <w:sz w:val="21"/>
                <w:szCs w:val="21"/>
              </w:rPr>
              <w:t>备注</w:t>
            </w:r>
          </w:p>
        </w:tc>
      </w:tr>
      <w:tr>
        <w:tblPrEx>
          <w:tblW w:w="0" w:type="auto"/>
          <w:tblInd w:w="60" w:type="dxa"/>
          <w:tblLayout w:type="fixed"/>
          <w:tblCellMar>
            <w:top w:w="60" w:type="dxa"/>
            <w:left w:w="60" w:type="dxa"/>
            <w:bottom w:w="60" w:type="dxa"/>
            <w:right w:w="60" w:type="dxa"/>
          </w:tblCellMar>
        </w:tblPrEx>
        <w:trPr>
          <w:trHeight w:val="462"/>
        </w:trPr>
        <w:tc>
          <w:tcPr>
            <w:tcW w:w="3261" w:type="dxa"/>
            <w:tcBorders>
              <w:top w:val="outset" w:sz="6" w:space="0" w:color="AAAAAA"/>
              <w:left w:val="outset" w:sz="6" w:space="0" w:color="AAAAAA"/>
              <w:bottom w:val="outset" w:sz="6" w:space="0" w:color="AAAAAA"/>
              <w:right w:val="outset" w:sz="6" w:space="0" w:color="AAAAAA"/>
            </w:tcBorders>
            <w:noWrap w:val="0"/>
            <w:vAlign w:val="center"/>
          </w:tcPr>
          <w:p>
            <w:pPr>
              <w:keepNext w:val="0"/>
              <w:keepLines w:val="0"/>
              <w:pageBreakBefore w:val="0"/>
              <w:widowControl/>
              <w:kinsoku/>
              <w:wordWrap/>
              <w:overflowPunct/>
              <w:topLinePunct w:val="0"/>
              <w:autoSpaceDE/>
              <w:autoSpaceDN/>
              <w:bidi w:val="0"/>
              <w:spacing w:beforeAutospacing="0" w:afterAutospacing="0" w:line="360" w:lineRule="exact"/>
              <w:jc w:val="center"/>
              <w:textAlignment w:val="auto"/>
              <w:rPr>
                <w:rFonts w:ascii="宋体" w:eastAsia="宋体" w:hAnsi="宋体" w:cs="宋体" w:hint="eastAsia"/>
                <w:sz w:val="21"/>
                <w:szCs w:val="21"/>
                <w:lang w:eastAsia="zh-CN"/>
              </w:rPr>
            </w:pPr>
            <w:r>
              <w:rPr>
                <w:rFonts w:ascii="宋体" w:hAnsi="宋体" w:cs="宋体" w:hint="eastAsia"/>
                <w:sz w:val="21"/>
                <w:szCs w:val="21"/>
                <w:lang w:eastAsia="zh-CN"/>
              </w:rPr>
              <w:t>深圳市宝安区拘留所医疗服务</w:t>
            </w:r>
          </w:p>
        </w:tc>
        <w:tc>
          <w:tcPr>
            <w:tcW w:w="850" w:type="dxa"/>
            <w:tcBorders>
              <w:top w:val="outset" w:sz="6" w:space="0" w:color="AAAAAA"/>
              <w:left w:val="outset" w:sz="6" w:space="0" w:color="AAAAAA"/>
              <w:bottom w:val="outset" w:sz="6" w:space="0" w:color="AAAAAA"/>
              <w:right w:val="outset" w:sz="6" w:space="0" w:color="AAAAAA"/>
            </w:tcBorders>
            <w:noWrap w:val="0"/>
            <w:vAlign w:val="center"/>
          </w:tcPr>
          <w:p>
            <w:pPr>
              <w:keepNext w:val="0"/>
              <w:keepLines w:val="0"/>
              <w:pageBreakBefore w:val="0"/>
              <w:kinsoku/>
              <w:wordWrap/>
              <w:overflowPunct/>
              <w:topLinePunct w:val="0"/>
              <w:autoSpaceDE/>
              <w:autoSpaceDN/>
              <w:bidi w:val="0"/>
              <w:spacing w:beforeAutospacing="0" w:afterAutospacing="0" w:line="360" w:lineRule="exact"/>
              <w:jc w:val="center"/>
              <w:textAlignment w:val="auto"/>
              <w:rPr>
                <w:rFonts w:ascii="宋体" w:eastAsia="宋体" w:hAnsi="宋体" w:cs="宋体" w:hint="eastAsia"/>
                <w:sz w:val="21"/>
                <w:szCs w:val="21"/>
              </w:rPr>
            </w:pPr>
            <w:r>
              <w:rPr>
                <w:rFonts w:ascii="宋体" w:eastAsia="宋体" w:hAnsi="宋体" w:cs="宋体" w:hint="eastAsia"/>
                <w:sz w:val="21"/>
                <w:szCs w:val="21"/>
              </w:rPr>
              <w:t>1</w:t>
            </w:r>
          </w:p>
        </w:tc>
        <w:tc>
          <w:tcPr>
            <w:tcW w:w="992" w:type="dxa"/>
            <w:tcBorders>
              <w:top w:val="outset" w:sz="6" w:space="0" w:color="AAAAAA"/>
              <w:left w:val="outset" w:sz="6" w:space="0" w:color="AAAAAA"/>
              <w:bottom w:val="outset" w:sz="6" w:space="0" w:color="AAAAAA"/>
              <w:right w:val="outset" w:sz="6" w:space="0" w:color="AAAAAA"/>
            </w:tcBorders>
            <w:noWrap w:val="0"/>
            <w:vAlign w:val="center"/>
          </w:tcPr>
          <w:p>
            <w:pPr>
              <w:keepNext w:val="0"/>
              <w:keepLines w:val="0"/>
              <w:pageBreakBefore w:val="0"/>
              <w:kinsoku/>
              <w:wordWrap/>
              <w:overflowPunct/>
              <w:topLinePunct w:val="0"/>
              <w:autoSpaceDE/>
              <w:autoSpaceDN/>
              <w:bidi w:val="0"/>
              <w:spacing w:beforeAutospacing="0" w:afterAutospacing="0" w:line="360" w:lineRule="exact"/>
              <w:jc w:val="center"/>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项</w:t>
            </w:r>
          </w:p>
        </w:tc>
        <w:tc>
          <w:tcPr>
            <w:tcW w:w="2552" w:type="dxa"/>
            <w:tcBorders>
              <w:top w:val="outset" w:sz="6" w:space="0" w:color="AAAAAA"/>
              <w:left w:val="outset" w:sz="6" w:space="0" w:color="AAAAAA"/>
              <w:bottom w:val="outset" w:sz="6" w:space="0" w:color="AAAAAA"/>
              <w:right w:val="outset" w:sz="6" w:space="0" w:color="AAAAAA"/>
            </w:tcBorders>
            <w:noWrap w:val="0"/>
            <w:vAlign w:val="center"/>
          </w:tcPr>
          <w:p>
            <w:pPr>
              <w:keepNext w:val="0"/>
              <w:keepLines w:val="0"/>
              <w:pageBreakBefore w:val="0"/>
              <w:kinsoku/>
              <w:wordWrap/>
              <w:overflowPunct/>
              <w:topLinePunct w:val="0"/>
              <w:autoSpaceDE/>
              <w:autoSpaceDN/>
              <w:bidi w:val="0"/>
              <w:spacing w:beforeAutospacing="0" w:afterAutospacing="0" w:line="360" w:lineRule="exact"/>
              <w:jc w:val="center"/>
              <w:textAlignment w:val="auto"/>
              <w:rPr>
                <w:rFonts w:ascii="宋体" w:eastAsia="宋体" w:hAnsi="宋体" w:cs="宋体" w:hint="eastAsia"/>
                <w:sz w:val="21"/>
                <w:szCs w:val="21"/>
              </w:rPr>
            </w:pPr>
            <w:r>
              <w:rPr>
                <w:rFonts w:ascii="宋体" w:eastAsia="宋体" w:hAnsi="宋体" w:cs="宋体" w:hint="eastAsia"/>
                <w:sz w:val="21"/>
                <w:szCs w:val="21"/>
              </w:rPr>
              <w:t>详见招标文件</w:t>
            </w:r>
          </w:p>
        </w:tc>
        <w:tc>
          <w:tcPr>
            <w:tcW w:w="850" w:type="dxa"/>
            <w:tcBorders>
              <w:top w:val="outset" w:sz="6" w:space="0" w:color="AAAAAA"/>
              <w:left w:val="outset" w:sz="6" w:space="0" w:color="AAAAAA"/>
              <w:bottom w:val="outset" w:sz="6" w:space="0" w:color="AAAAAA"/>
              <w:right w:val="outset" w:sz="6" w:space="0" w:color="AAAAAA"/>
            </w:tcBorders>
            <w:noWrap w:val="0"/>
            <w:vAlign w:val="center"/>
          </w:tcPr>
          <w:p>
            <w:pPr>
              <w:keepNext w:val="0"/>
              <w:keepLines w:val="0"/>
              <w:pageBreakBefore w:val="0"/>
              <w:widowControl/>
              <w:kinsoku/>
              <w:wordWrap/>
              <w:overflowPunct/>
              <w:topLinePunct w:val="0"/>
              <w:autoSpaceDE/>
              <w:autoSpaceDN/>
              <w:bidi w:val="0"/>
              <w:spacing w:beforeAutospacing="0" w:afterAutospacing="0" w:line="360" w:lineRule="exact"/>
              <w:jc w:val="center"/>
              <w:textAlignment w:val="auto"/>
              <w:rPr>
                <w:rFonts w:ascii="宋体" w:eastAsia="宋体" w:hAnsi="宋体" w:cs="宋体" w:hint="eastAsia"/>
                <w:sz w:val="21"/>
                <w:szCs w:val="21"/>
              </w:rPr>
            </w:pPr>
            <w:r>
              <w:rPr>
                <w:rFonts w:ascii="宋体" w:eastAsia="宋体" w:hAnsi="宋体" w:cs="宋体" w:hint="eastAsia"/>
                <w:sz w:val="21"/>
                <w:szCs w:val="21"/>
              </w:rPr>
              <w:t>无</w:t>
            </w:r>
          </w:p>
        </w:tc>
      </w:tr>
    </w:tbl>
    <w:p>
      <w:pPr>
        <w:pStyle w:val="NormalWeb"/>
        <w:keepNext w:val="0"/>
        <w:keepLines w:val="0"/>
        <w:pageBreakBefore w:val="0"/>
        <w:widowControl/>
        <w:kinsoku/>
        <w:wordWrap/>
        <w:overflowPunct/>
        <w:topLinePunct w:val="0"/>
        <w:autoSpaceDE/>
        <w:autoSpaceDN/>
        <w:bidi w:val="0"/>
        <w:spacing w:before="0" w:beforeAutospacing="0" w:after="0" w:afterAutospacing="0" w:line="360" w:lineRule="exact"/>
        <w:textAlignment w:val="auto"/>
        <w:rPr>
          <w:rFonts w:ascii="宋体" w:eastAsia="宋体" w:hAnsi="宋体" w:cs="宋体" w:hint="eastAsia"/>
          <w:sz w:val="21"/>
          <w:szCs w:val="21"/>
        </w:rPr>
      </w:pPr>
    </w:p>
    <w:p>
      <w:pPr>
        <w:pStyle w:val="NormalWeb"/>
        <w:keepNext w:val="0"/>
        <w:keepLines w:val="0"/>
        <w:pageBreakBefore w:val="0"/>
        <w:widowControl/>
        <w:kinsoku/>
        <w:wordWrap/>
        <w:overflowPunct/>
        <w:topLinePunct w:val="0"/>
        <w:autoSpaceDE/>
        <w:autoSpaceDN/>
        <w:bidi w:val="0"/>
        <w:spacing w:before="0" w:beforeAutospacing="0" w:after="0" w:afterAutospacing="0" w:line="360" w:lineRule="exact"/>
        <w:textAlignment w:val="auto"/>
        <w:rPr>
          <w:rFonts w:ascii="宋体" w:eastAsia="宋体" w:hAnsi="宋体" w:cs="宋体" w:hint="eastAsia"/>
          <w:sz w:val="21"/>
          <w:szCs w:val="21"/>
        </w:rPr>
      </w:pPr>
      <w:r>
        <w:rPr>
          <w:rFonts w:ascii="宋体" w:eastAsia="宋体" w:hAnsi="宋体" w:cs="宋体" w:hint="eastAsia"/>
          <w:sz w:val="21"/>
          <w:szCs w:val="21"/>
        </w:rPr>
        <w:t>二、申请人的资格要求：</w:t>
      </w:r>
    </w:p>
    <w:p>
      <w:pPr>
        <w:pStyle w:val="NormalWeb"/>
        <w:keepNext w:val="0"/>
        <w:keepLines w:val="0"/>
        <w:pageBreakBefore w:val="0"/>
        <w:kinsoku/>
        <w:wordWrap/>
        <w:overflowPunct/>
        <w:topLinePunct w:val="0"/>
        <w:autoSpaceDE/>
        <w:autoSpaceDN/>
        <w:bidi w:val="0"/>
        <w:spacing w:before="0" w:beforeAutospacing="0" w:after="0" w:afterAutospacing="0" w:line="360" w:lineRule="exact"/>
        <w:ind w:firstLine="424" w:firstLineChars="202"/>
        <w:textAlignment w:val="auto"/>
        <w:rPr>
          <w:rFonts w:ascii="宋体" w:eastAsia="宋体" w:hAnsi="宋体" w:cs="宋体" w:hint="eastAsia"/>
          <w:sz w:val="21"/>
          <w:szCs w:val="21"/>
        </w:rPr>
      </w:pPr>
      <w:r>
        <w:rPr>
          <w:rFonts w:ascii="宋体" w:eastAsia="宋体" w:hAnsi="宋体" w:cs="宋体" w:hint="eastAsia"/>
          <w:sz w:val="21"/>
          <w:szCs w:val="21"/>
        </w:rPr>
        <w:t>1</w:t>
      </w:r>
      <w:r>
        <w:rPr>
          <w:rFonts w:ascii="宋体" w:eastAsia="宋体" w:hAnsi="宋体" w:cs="宋体" w:hint="eastAsia"/>
          <w:sz w:val="21"/>
          <w:szCs w:val="21"/>
          <w:lang w:val="en-US" w:eastAsia="zh-CN"/>
        </w:rPr>
        <w:t>.</w:t>
      </w:r>
      <w:r>
        <w:rPr>
          <w:rFonts w:ascii="宋体" w:eastAsia="宋体" w:hAnsi="宋体" w:cs="宋体" w:hint="eastAsia"/>
          <w:sz w:val="21"/>
          <w:szCs w:val="21"/>
        </w:rPr>
        <w:t>满足《中华人民共和国政府采购法》第二十二条规定</w:t>
      </w:r>
      <w:r>
        <w:rPr>
          <w:rFonts w:ascii="宋体" w:eastAsia="宋体" w:hAnsi="宋体" w:cs="宋体" w:hint="eastAsia"/>
          <w:snapToGrid w:val="0"/>
          <w:sz w:val="21"/>
          <w:szCs w:val="21"/>
        </w:rPr>
        <w:t>（须提供具有独立承担民事责任能力的法人或其他组织或个体工商户的营业执照或法人证书等证明材料扫描件以及《</w:t>
      </w:r>
      <w:r>
        <w:rPr>
          <w:rFonts w:ascii="宋体" w:eastAsia="宋体" w:hAnsi="宋体" w:cs="宋体" w:hint="eastAsia"/>
          <w:sz w:val="21"/>
          <w:szCs w:val="21"/>
        </w:rPr>
        <w:t>政府采购投标及履约承诺函</w:t>
      </w:r>
      <w:r>
        <w:rPr>
          <w:rFonts w:ascii="宋体" w:eastAsia="宋体" w:hAnsi="宋体" w:cs="宋体" w:hint="eastAsia"/>
          <w:snapToGrid w:val="0"/>
          <w:sz w:val="21"/>
          <w:szCs w:val="21"/>
        </w:rPr>
        <w:t>》）。如果是分支机构参与投标，还须同时提供其具有独立法人资格的上级主体出具的有效授权书及上级主体的营业执照或法人证书等证明材料扫描件；本项目不接受总公司与分支机构同时参与投标，也不接受同一总公司有两个或以上分支机构参与投标，如出现以上情形，该两家或以上投标人均按无效投标处理</w:t>
      </w:r>
      <w:r>
        <w:rPr>
          <w:rFonts w:ascii="宋体" w:eastAsia="宋体" w:hAnsi="宋体" w:cs="宋体" w:hint="eastAsia"/>
          <w:sz w:val="21"/>
          <w:szCs w:val="21"/>
        </w:rPr>
        <w:t xml:space="preserve">。 </w:t>
      </w:r>
    </w:p>
    <w:p>
      <w:pPr>
        <w:pStyle w:val="NormalWeb"/>
        <w:keepNext w:val="0"/>
        <w:keepLines w:val="0"/>
        <w:pageBreakBefore w:val="0"/>
        <w:kinsoku/>
        <w:wordWrap/>
        <w:overflowPunct/>
        <w:topLinePunct w:val="0"/>
        <w:autoSpaceDE/>
        <w:autoSpaceDN/>
        <w:bidi w:val="0"/>
        <w:spacing w:before="0" w:beforeAutospacing="0" w:after="0" w:afterAutospacing="0" w:line="360" w:lineRule="exact"/>
        <w:ind w:firstLine="424" w:firstLineChars="202"/>
        <w:textAlignment w:val="auto"/>
        <w:rPr>
          <w:rFonts w:ascii="宋体" w:eastAsia="宋体" w:hAnsi="宋体" w:cs="宋体" w:hint="eastAsia"/>
          <w:sz w:val="21"/>
          <w:szCs w:val="21"/>
        </w:rPr>
      </w:pPr>
      <w:r>
        <w:rPr>
          <w:rFonts w:ascii="宋体" w:eastAsia="宋体" w:hAnsi="宋体" w:cs="宋体" w:hint="eastAsia"/>
          <w:sz w:val="21"/>
          <w:szCs w:val="21"/>
        </w:rPr>
        <w:t>2</w:t>
      </w:r>
      <w:r>
        <w:rPr>
          <w:rFonts w:ascii="宋体" w:eastAsia="宋体" w:hAnsi="宋体" w:cs="宋体" w:hint="eastAsia"/>
          <w:sz w:val="21"/>
          <w:szCs w:val="21"/>
          <w:lang w:val="en-US" w:eastAsia="zh-CN"/>
        </w:rPr>
        <w:t>.</w:t>
      </w:r>
      <w:r>
        <w:rPr>
          <w:rFonts w:ascii="宋体" w:eastAsia="宋体" w:hAnsi="宋体" w:cs="宋体" w:hint="eastAsia"/>
          <w:sz w:val="21"/>
          <w:szCs w:val="21"/>
        </w:rPr>
        <w:t xml:space="preserve">落实政府采购政策需满足的资格要求：无。 </w:t>
      </w:r>
    </w:p>
    <w:p>
      <w:pPr>
        <w:pStyle w:val="NormalWeb"/>
        <w:keepNext w:val="0"/>
        <w:keepLines w:val="0"/>
        <w:pageBreakBefore w:val="0"/>
        <w:kinsoku/>
        <w:wordWrap/>
        <w:overflowPunct/>
        <w:topLinePunct w:val="0"/>
        <w:autoSpaceDE/>
        <w:autoSpaceDN/>
        <w:bidi w:val="0"/>
        <w:spacing w:before="0" w:beforeAutospacing="0" w:after="0" w:afterAutospacing="0" w:line="360" w:lineRule="exact"/>
        <w:ind w:firstLine="424" w:firstLineChars="202"/>
        <w:textAlignment w:val="auto"/>
        <w:rPr>
          <w:rFonts w:ascii="宋体" w:eastAsia="宋体" w:hAnsi="宋体" w:cs="宋体" w:hint="eastAsia"/>
          <w:sz w:val="21"/>
          <w:szCs w:val="21"/>
        </w:rPr>
      </w:pPr>
      <w:r>
        <w:rPr>
          <w:rFonts w:ascii="宋体" w:eastAsia="宋体" w:hAnsi="宋体" w:cs="宋体" w:hint="eastAsia"/>
          <w:sz w:val="21"/>
          <w:szCs w:val="21"/>
        </w:rPr>
        <w:t>3</w:t>
      </w:r>
      <w:r>
        <w:rPr>
          <w:rFonts w:ascii="宋体" w:eastAsia="宋体" w:hAnsi="宋体" w:cs="宋体" w:hint="eastAsia"/>
          <w:sz w:val="21"/>
          <w:szCs w:val="21"/>
          <w:lang w:val="en-US" w:eastAsia="zh-CN"/>
        </w:rPr>
        <w:t>.</w:t>
      </w:r>
      <w:r>
        <w:rPr>
          <w:rFonts w:ascii="宋体" w:eastAsia="宋体" w:hAnsi="宋体" w:cs="宋体" w:hint="eastAsia"/>
          <w:sz w:val="21"/>
          <w:szCs w:val="21"/>
        </w:rPr>
        <w:t>本项目的特定资格要求：</w:t>
      </w:r>
    </w:p>
    <w:p>
      <w:pPr>
        <w:pStyle w:val="p9"/>
        <w:keepNext w:val="0"/>
        <w:keepLines w:val="0"/>
        <w:pageBreakBefore w:val="0"/>
        <w:kinsoku/>
        <w:wordWrap/>
        <w:overflowPunct/>
        <w:topLinePunct w:val="0"/>
        <w:autoSpaceDE/>
        <w:autoSpaceDN/>
        <w:bidi w:val="0"/>
        <w:adjustRightInd w:val="0"/>
        <w:snapToGrid w:val="0"/>
        <w:spacing w:before="0" w:beforeAutospacing="0" w:after="0" w:afterAutospacing="0" w:line="360" w:lineRule="exact"/>
        <w:ind w:firstLine="424" w:firstLineChars="202"/>
        <w:textAlignment w:val="auto"/>
        <w:rPr>
          <w:rFonts w:ascii="宋体" w:eastAsia="宋体" w:hAnsi="宋体" w:cs="宋体" w:hint="eastAsia"/>
          <w:snapToGrid w:val="0"/>
          <w:color w:val="auto"/>
          <w:sz w:val="21"/>
          <w:szCs w:val="21"/>
        </w:rPr>
      </w:pPr>
      <w:r>
        <w:rPr>
          <w:rFonts w:ascii="宋体" w:eastAsia="宋体" w:hAnsi="宋体" w:cs="宋体" w:hint="eastAsia"/>
          <w:snapToGrid w:val="0"/>
          <w:color w:val="auto"/>
          <w:sz w:val="21"/>
          <w:szCs w:val="21"/>
        </w:rPr>
        <w:t>（1）参与本项目采购活动前三年内，在经营活动中没有重大违法记录（须按本项目投标文件格式要求提供《政府采购投标及履约承诺函》）；</w:t>
      </w:r>
    </w:p>
    <w:p>
      <w:pPr>
        <w:pStyle w:val="p9"/>
        <w:keepNext w:val="0"/>
        <w:keepLines w:val="0"/>
        <w:pageBreakBefore w:val="0"/>
        <w:kinsoku/>
        <w:wordWrap/>
        <w:overflowPunct/>
        <w:topLinePunct w:val="0"/>
        <w:autoSpaceDE/>
        <w:autoSpaceDN/>
        <w:bidi w:val="0"/>
        <w:adjustRightInd w:val="0"/>
        <w:snapToGrid w:val="0"/>
        <w:spacing w:before="0" w:beforeAutospacing="0" w:after="0" w:afterAutospacing="0" w:line="360" w:lineRule="exact"/>
        <w:ind w:firstLine="424" w:firstLineChars="202"/>
        <w:textAlignment w:val="auto"/>
        <w:rPr>
          <w:rFonts w:ascii="宋体" w:eastAsia="宋体" w:hAnsi="宋体" w:cs="宋体" w:hint="eastAsia"/>
          <w:snapToGrid w:val="0"/>
          <w:color w:val="auto"/>
          <w:sz w:val="21"/>
          <w:szCs w:val="21"/>
        </w:rPr>
      </w:pPr>
      <w:r>
        <w:rPr>
          <w:rFonts w:ascii="宋体" w:eastAsia="宋体" w:hAnsi="宋体" w:cs="宋体" w:hint="eastAsia"/>
          <w:snapToGrid w:val="0"/>
          <w:color w:val="auto"/>
          <w:sz w:val="21"/>
          <w:szCs w:val="21"/>
        </w:rPr>
        <w:t>（2）参与本项目政府采购活动时不存在被有关部门禁止参与政府采购活动且在有效期内的情况（须按本项目投标文件格式要求提供《政府采购投标及履约承诺函》）；</w:t>
      </w:r>
    </w:p>
    <w:p>
      <w:pPr>
        <w:pStyle w:val="p9"/>
        <w:keepNext w:val="0"/>
        <w:keepLines w:val="0"/>
        <w:pageBreakBefore w:val="0"/>
        <w:kinsoku/>
        <w:wordWrap/>
        <w:overflowPunct/>
        <w:topLinePunct w:val="0"/>
        <w:autoSpaceDE/>
        <w:autoSpaceDN/>
        <w:bidi w:val="0"/>
        <w:adjustRightInd w:val="0"/>
        <w:snapToGrid w:val="0"/>
        <w:spacing w:before="0" w:beforeAutospacing="0" w:after="0" w:afterAutospacing="0" w:line="360" w:lineRule="exact"/>
        <w:ind w:firstLine="424" w:firstLineChars="202"/>
        <w:textAlignment w:val="auto"/>
        <w:rPr>
          <w:rFonts w:ascii="宋体" w:eastAsia="宋体" w:hAnsi="宋体" w:cs="宋体" w:hint="eastAsia"/>
          <w:snapToGrid w:val="0"/>
          <w:color w:val="auto"/>
          <w:sz w:val="21"/>
          <w:szCs w:val="21"/>
        </w:rPr>
      </w:pPr>
      <w:r>
        <w:rPr>
          <w:rFonts w:ascii="宋体" w:eastAsia="宋体" w:hAnsi="宋体" w:cs="宋体" w:hint="eastAsia"/>
          <w:snapToGrid w:val="0"/>
          <w:color w:val="auto"/>
          <w:sz w:val="21"/>
          <w:szCs w:val="21"/>
        </w:rPr>
        <w:t>（3）除单一来源采购项目外，为采购项目提供整体设计、规范编制或者项目管理、监理、检测等服务的供应商，不得再参加该采购项目的其他采购活动（须按本项目投标文件格式要求提供《政府采购投标及履约承诺函》）；</w:t>
      </w:r>
    </w:p>
    <w:p>
      <w:pPr>
        <w:pStyle w:val="p9"/>
        <w:keepNext w:val="0"/>
        <w:keepLines w:val="0"/>
        <w:pageBreakBefore w:val="0"/>
        <w:kinsoku/>
        <w:wordWrap/>
        <w:overflowPunct/>
        <w:topLinePunct w:val="0"/>
        <w:autoSpaceDE/>
        <w:autoSpaceDN/>
        <w:bidi w:val="0"/>
        <w:adjustRightInd w:val="0"/>
        <w:snapToGrid w:val="0"/>
        <w:spacing w:before="0" w:beforeAutospacing="0" w:after="0" w:afterAutospacing="0" w:line="360" w:lineRule="exact"/>
        <w:ind w:firstLine="424" w:firstLineChars="202"/>
        <w:textAlignment w:val="auto"/>
        <w:rPr>
          <w:rFonts w:ascii="宋体" w:eastAsia="宋体" w:hAnsi="宋体" w:cs="宋体" w:hint="eastAsia"/>
          <w:snapToGrid w:val="0"/>
          <w:color w:val="auto"/>
          <w:sz w:val="21"/>
          <w:szCs w:val="21"/>
          <w:lang w:eastAsia="zh-CN"/>
        </w:rPr>
      </w:pPr>
      <w:r>
        <w:rPr>
          <w:rFonts w:ascii="宋体" w:eastAsia="宋体" w:hAnsi="宋体" w:cs="宋体" w:hint="eastAsia"/>
          <w:snapToGrid w:val="0"/>
          <w:color w:val="auto"/>
          <w:sz w:val="21"/>
          <w:szCs w:val="21"/>
        </w:rPr>
        <w:t>（</w:t>
      </w:r>
      <w:r>
        <w:rPr>
          <w:rFonts w:ascii="宋体" w:eastAsia="宋体" w:hAnsi="宋体" w:cs="宋体" w:hint="eastAsia"/>
          <w:snapToGrid w:val="0"/>
          <w:color w:val="auto"/>
          <w:sz w:val="21"/>
          <w:szCs w:val="21"/>
          <w:lang w:val="en-US" w:eastAsia="zh-CN"/>
        </w:rPr>
        <w:t>4</w:t>
      </w:r>
      <w:r>
        <w:rPr>
          <w:rFonts w:ascii="宋体" w:eastAsia="宋体" w:hAnsi="宋体" w:cs="宋体" w:hint="eastAsia"/>
          <w:snapToGrid w:val="0"/>
          <w:color w:val="auto"/>
          <w:sz w:val="21"/>
          <w:szCs w:val="21"/>
        </w:rPr>
        <w:t>）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w:t>
      </w:r>
      <w:r>
        <w:rPr>
          <w:rFonts w:ascii="宋体" w:eastAsia="宋体" w:hAnsi="宋体" w:cs="宋体" w:hint="eastAsia"/>
          <w:snapToGrid w:val="0"/>
          <w:color w:val="auto"/>
          <w:sz w:val="21"/>
          <w:szCs w:val="21"/>
          <w:lang w:eastAsia="zh-CN"/>
        </w:rPr>
        <w:t>；</w:t>
      </w:r>
    </w:p>
    <w:p>
      <w:pPr>
        <w:pStyle w:val="p9"/>
        <w:keepNext w:val="0"/>
        <w:keepLines w:val="0"/>
        <w:pageBreakBefore w:val="0"/>
        <w:kinsoku/>
        <w:wordWrap/>
        <w:overflowPunct/>
        <w:topLinePunct w:val="0"/>
        <w:autoSpaceDE/>
        <w:autoSpaceDN/>
        <w:bidi w:val="0"/>
        <w:adjustRightInd w:val="0"/>
        <w:snapToGrid w:val="0"/>
        <w:spacing w:before="0" w:beforeAutospacing="0" w:after="0" w:afterAutospacing="0" w:line="360" w:lineRule="exact"/>
        <w:ind w:firstLine="424" w:firstLineChars="202"/>
        <w:textAlignment w:val="auto"/>
        <w:rPr>
          <w:rFonts w:ascii="宋体" w:eastAsia="宋体" w:hAnsi="宋体" w:cs="宋体" w:hint="eastAsia"/>
          <w:snapToGrid w:val="0"/>
          <w:color w:val="auto"/>
          <w:sz w:val="21"/>
          <w:szCs w:val="21"/>
          <w:lang w:eastAsia="zh-CN"/>
        </w:rPr>
      </w:pPr>
      <w:r>
        <w:rPr>
          <w:rFonts w:ascii="宋体" w:eastAsia="宋体" w:hAnsi="宋体" w:cs="宋体" w:hint="eastAsia"/>
          <w:snapToGrid w:val="0"/>
          <w:color w:val="auto"/>
          <w:sz w:val="21"/>
          <w:szCs w:val="21"/>
        </w:rPr>
        <w:t>（</w:t>
      </w:r>
      <w:r>
        <w:rPr>
          <w:rFonts w:ascii="宋体" w:eastAsia="宋体" w:hAnsi="宋体" w:cs="宋体" w:hint="eastAsia"/>
          <w:snapToGrid w:val="0"/>
          <w:color w:val="auto"/>
          <w:sz w:val="21"/>
          <w:szCs w:val="21"/>
          <w:lang w:val="en-US" w:eastAsia="zh-CN"/>
        </w:rPr>
        <w:t>5</w:t>
      </w:r>
      <w:r>
        <w:rPr>
          <w:rFonts w:ascii="宋体" w:eastAsia="宋体" w:hAnsi="宋体" w:cs="宋体" w:hint="eastAsia"/>
          <w:snapToGrid w:val="0"/>
          <w:color w:val="auto"/>
          <w:sz w:val="21"/>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ascii="宋体" w:eastAsia="宋体" w:hAnsi="宋体" w:hint="eastAsia"/>
          <w:snapToGrid w:val="0"/>
          <w:color w:val="auto"/>
          <w:sz w:val="21"/>
        </w:rPr>
        <w:t>单位负责人为同一人或者存在直接控股、管理关系的不同供应商，不得参加同一合同项下的政府采购活动</w:t>
      </w:r>
      <w:r>
        <w:rPr>
          <w:rFonts w:ascii="宋体" w:eastAsia="宋体" w:hAnsi="宋体" w:cs="宋体" w:hint="eastAsia"/>
          <w:snapToGrid w:val="0"/>
          <w:color w:val="auto"/>
          <w:sz w:val="21"/>
          <w:szCs w:val="21"/>
        </w:rPr>
        <w:t>（须按要求提供《供应商基本情况表》相关信息</w:t>
      </w:r>
      <w:r>
        <w:rPr>
          <w:rFonts w:ascii="宋体" w:eastAsia="宋体" w:hAnsi="宋体" w:cs="宋体" w:hint="eastAsia"/>
          <w:snapToGrid w:val="0"/>
          <w:color w:val="auto"/>
          <w:sz w:val="21"/>
          <w:szCs w:val="21"/>
          <w:lang w:eastAsia="zh-CN"/>
        </w:rPr>
        <w:t>，《供应商基本情况表》相关信息为不公开内容</w:t>
      </w:r>
      <w:r>
        <w:rPr>
          <w:rFonts w:ascii="宋体" w:eastAsia="宋体" w:hAnsi="宋体" w:cs="宋体" w:hint="eastAsia"/>
          <w:snapToGrid w:val="0"/>
          <w:color w:val="auto"/>
          <w:sz w:val="21"/>
          <w:szCs w:val="21"/>
        </w:rPr>
        <w:t>）</w:t>
      </w:r>
      <w:r>
        <w:rPr>
          <w:rFonts w:ascii="宋体" w:eastAsia="宋体" w:hAnsi="宋体" w:cs="宋体" w:hint="eastAsia"/>
          <w:snapToGrid w:val="0"/>
          <w:color w:val="auto"/>
          <w:sz w:val="21"/>
          <w:szCs w:val="21"/>
          <w:lang w:eastAsia="zh-CN"/>
        </w:rPr>
        <w:t>；</w:t>
      </w:r>
    </w:p>
    <w:p>
      <w:pPr>
        <w:pStyle w:val="p9"/>
        <w:keepNext w:val="0"/>
        <w:keepLines w:val="0"/>
        <w:pageBreakBefore w:val="0"/>
        <w:kinsoku/>
        <w:wordWrap/>
        <w:overflowPunct/>
        <w:topLinePunct w:val="0"/>
        <w:autoSpaceDE/>
        <w:autoSpaceDN/>
        <w:bidi w:val="0"/>
        <w:adjustRightInd w:val="0"/>
        <w:snapToGrid w:val="0"/>
        <w:spacing w:before="0" w:beforeAutospacing="0" w:after="0" w:afterAutospacing="0" w:line="360" w:lineRule="exact"/>
        <w:ind w:firstLine="424" w:firstLineChars="202"/>
        <w:textAlignment w:val="auto"/>
        <w:rPr>
          <w:rFonts w:ascii="宋体" w:eastAsia="宋体" w:hAnsi="宋体" w:cs="宋体" w:hint="eastAsia"/>
          <w:snapToGrid w:val="0"/>
          <w:color w:val="auto"/>
          <w:sz w:val="21"/>
          <w:szCs w:val="21"/>
        </w:rPr>
      </w:pPr>
      <w:r>
        <w:rPr>
          <w:rFonts w:ascii="宋体" w:eastAsia="宋体" w:hAnsi="宋体" w:cs="宋体" w:hint="eastAsia"/>
          <w:snapToGrid w:val="0"/>
          <w:color w:val="auto"/>
          <w:sz w:val="21"/>
          <w:szCs w:val="21"/>
        </w:rPr>
        <w:t>（</w:t>
      </w:r>
      <w:r>
        <w:rPr>
          <w:rFonts w:ascii="宋体" w:eastAsia="宋体" w:hAnsi="宋体" w:cs="宋体" w:hint="eastAsia"/>
          <w:snapToGrid w:val="0"/>
          <w:color w:val="auto"/>
          <w:sz w:val="21"/>
          <w:szCs w:val="21"/>
          <w:lang w:val="en-US" w:eastAsia="zh-CN"/>
        </w:rPr>
        <w:t>6</w:t>
      </w:r>
      <w:r>
        <w:rPr>
          <w:rFonts w:ascii="宋体" w:eastAsia="宋体" w:hAnsi="宋体" w:cs="宋体" w:hint="eastAsia"/>
          <w:snapToGrid w:val="0"/>
          <w:color w:val="auto"/>
          <w:sz w:val="21"/>
          <w:szCs w:val="21"/>
        </w:rPr>
        <w:t>）未被列入失信被执行人、重大税收违法案件当事人名单及政府采购严重违法失信行为记录名单（信用中国网</w:t>
      </w:r>
      <w:r>
        <w:rPr>
          <w:rFonts w:ascii="宋体" w:eastAsia="宋体" w:hAnsi="宋体" w:cs="宋体" w:hint="eastAsia"/>
          <w:snapToGrid w:val="0"/>
          <w:color w:val="auto"/>
          <w:sz w:val="21"/>
          <w:szCs w:val="21"/>
          <w:lang w:eastAsia="zh-CN"/>
        </w:rPr>
        <w:t>“信息公示”</w:t>
      </w:r>
      <w:r>
        <w:rPr>
          <w:rFonts w:ascii="宋体" w:eastAsia="宋体" w:hAnsi="宋体" w:cs="宋体" w:hint="eastAsia"/>
          <w:snapToGrid w:val="0"/>
          <w:color w:val="auto"/>
          <w:sz w:val="21"/>
          <w:szCs w:val="21"/>
        </w:rPr>
        <w:t>栏的“重大税收违法失信主体”、“失信被执行人”，中国政府采购网“政府采购严重违法失信行为记录名单”，深圳信用网以及深圳市政府采购监管网为供应商信用信息查询渠道，相关信息以开标当日的查询结果为准。由采购代理机构查询，供应商无需提供证明材料）；</w:t>
      </w:r>
    </w:p>
    <w:p>
      <w:pPr>
        <w:pStyle w:val="p9"/>
        <w:keepNext w:val="0"/>
        <w:keepLines w:val="0"/>
        <w:pageBreakBefore w:val="0"/>
        <w:kinsoku/>
        <w:wordWrap/>
        <w:overflowPunct/>
        <w:topLinePunct w:val="0"/>
        <w:autoSpaceDE/>
        <w:autoSpaceDN/>
        <w:bidi w:val="0"/>
        <w:adjustRightInd w:val="0"/>
        <w:snapToGrid w:val="0"/>
        <w:spacing w:before="0" w:beforeAutospacing="0" w:after="0" w:afterAutospacing="0" w:line="360" w:lineRule="exact"/>
        <w:ind w:firstLine="424" w:firstLineChars="202"/>
        <w:textAlignment w:val="auto"/>
        <w:rPr>
          <w:rFonts w:ascii="宋体" w:eastAsia="宋体" w:hAnsi="宋体" w:cs="宋体" w:hint="eastAsia"/>
          <w:snapToGrid w:val="0"/>
          <w:color w:val="FF0000"/>
          <w:sz w:val="21"/>
          <w:szCs w:val="21"/>
          <w:lang w:eastAsia="zh-CN"/>
        </w:rPr>
      </w:pPr>
      <w:r>
        <w:rPr>
          <w:rFonts w:ascii="宋体" w:eastAsia="宋体" w:hAnsi="宋体" w:cs="宋体" w:hint="eastAsia"/>
          <w:snapToGrid w:val="0"/>
          <w:color w:val="FF0000"/>
          <w:sz w:val="21"/>
          <w:szCs w:val="21"/>
        </w:rPr>
        <w:t>（</w:t>
      </w:r>
      <w:r>
        <w:rPr>
          <w:rFonts w:ascii="宋体" w:eastAsia="宋体" w:hAnsi="宋体" w:cs="宋体" w:hint="eastAsia"/>
          <w:snapToGrid w:val="0"/>
          <w:color w:val="FF0000"/>
          <w:sz w:val="21"/>
          <w:szCs w:val="21"/>
          <w:lang w:val="en-US" w:eastAsia="zh-CN"/>
        </w:rPr>
        <w:t>7</w:t>
      </w:r>
      <w:r>
        <w:rPr>
          <w:rFonts w:ascii="宋体" w:eastAsia="宋体" w:hAnsi="宋体" w:cs="宋体" w:hint="eastAsia"/>
          <w:snapToGrid w:val="0"/>
          <w:color w:val="FF0000"/>
          <w:sz w:val="21"/>
          <w:szCs w:val="21"/>
        </w:rPr>
        <w:t>）投标供应商应具有《医疗机构执业许可证》（提供在有效期内的《医疗机构执业许可证》</w:t>
      </w:r>
      <w:r>
        <w:rPr>
          <w:rFonts w:ascii="宋体" w:eastAsia="宋体" w:hAnsi="宋体" w:cs="宋体" w:hint="eastAsia"/>
          <w:snapToGrid w:val="0"/>
          <w:color w:val="FF0000"/>
          <w:sz w:val="21"/>
          <w:szCs w:val="21"/>
          <w:lang w:val="en-US" w:eastAsia="zh-CN"/>
        </w:rPr>
        <w:t>扫描件</w:t>
      </w:r>
      <w:r>
        <w:rPr>
          <w:rFonts w:ascii="宋体" w:eastAsia="宋体" w:hAnsi="宋体" w:cs="宋体" w:hint="eastAsia"/>
          <w:snapToGrid w:val="0"/>
          <w:color w:val="FF0000"/>
          <w:sz w:val="21"/>
          <w:szCs w:val="21"/>
        </w:rPr>
        <w:t>，如证书上未体现年检记录或有效期的，需同时提供发证机构官方网站显示的年检或有效期的截图作为证明材料；如国家另有规定，则适用新规定，投标人提供相关证明材料，如有效的资质证书及相关政府部门的规定）</w:t>
      </w:r>
      <w:r>
        <w:rPr>
          <w:rFonts w:ascii="宋体" w:eastAsia="宋体" w:hAnsi="宋体" w:cs="宋体" w:hint="eastAsia"/>
          <w:snapToGrid w:val="0"/>
          <w:color w:val="FF0000"/>
          <w:sz w:val="21"/>
          <w:szCs w:val="21"/>
          <w:lang w:eastAsia="zh-CN"/>
        </w:rPr>
        <w:t>；</w:t>
      </w:r>
    </w:p>
    <w:p>
      <w:pPr>
        <w:pStyle w:val="p9"/>
        <w:keepNext w:val="0"/>
        <w:keepLines w:val="0"/>
        <w:pageBreakBefore w:val="0"/>
        <w:kinsoku/>
        <w:wordWrap/>
        <w:overflowPunct/>
        <w:topLinePunct w:val="0"/>
        <w:autoSpaceDE/>
        <w:autoSpaceDN/>
        <w:bidi w:val="0"/>
        <w:adjustRightInd w:val="0"/>
        <w:snapToGrid w:val="0"/>
        <w:spacing w:before="0" w:beforeAutospacing="0" w:after="0" w:afterAutospacing="0" w:line="360" w:lineRule="exact"/>
        <w:ind w:firstLine="424" w:firstLineChars="202"/>
        <w:textAlignment w:val="auto"/>
        <w:rPr>
          <w:rFonts w:ascii="宋体" w:eastAsia="宋体" w:hAnsi="宋体" w:cs="宋体" w:hint="eastAsia"/>
          <w:snapToGrid w:val="0"/>
          <w:color w:val="auto"/>
          <w:sz w:val="21"/>
          <w:szCs w:val="21"/>
        </w:rPr>
      </w:pPr>
      <w:r>
        <w:rPr>
          <w:rFonts w:ascii="宋体" w:eastAsia="宋体" w:hAnsi="宋体" w:cs="宋体" w:hint="eastAsia"/>
          <w:snapToGrid w:val="0"/>
          <w:color w:val="auto"/>
          <w:sz w:val="21"/>
          <w:szCs w:val="21"/>
          <w:lang w:eastAsia="zh-CN"/>
        </w:rPr>
        <w:t>（</w:t>
      </w:r>
      <w:r>
        <w:rPr>
          <w:rFonts w:ascii="宋体" w:eastAsia="宋体" w:hAnsi="宋体" w:cs="宋体" w:hint="eastAsia"/>
          <w:snapToGrid w:val="0"/>
          <w:color w:val="auto"/>
          <w:sz w:val="21"/>
          <w:szCs w:val="21"/>
          <w:lang w:val="en-US" w:eastAsia="zh-CN"/>
        </w:rPr>
        <w:t>8</w:t>
      </w:r>
      <w:r>
        <w:rPr>
          <w:rFonts w:ascii="宋体" w:eastAsia="宋体" w:hAnsi="宋体" w:cs="宋体" w:hint="eastAsia"/>
          <w:snapToGrid w:val="0"/>
          <w:color w:val="auto"/>
          <w:sz w:val="21"/>
          <w:szCs w:val="21"/>
          <w:lang w:eastAsia="zh-CN"/>
        </w:rPr>
        <w:t>）</w:t>
      </w:r>
      <w:r>
        <w:rPr>
          <w:rFonts w:ascii="宋体" w:eastAsia="宋体" w:hAnsi="宋体" w:cs="宋体" w:hint="eastAsia"/>
          <w:snapToGrid w:val="0"/>
          <w:color w:val="auto"/>
          <w:sz w:val="21"/>
          <w:szCs w:val="21"/>
        </w:rPr>
        <w:t>本项目不接受联合体投标，不允许非法分包或转包。</w:t>
      </w:r>
    </w:p>
    <w:p>
      <w:pPr>
        <w:pStyle w:val="NormalWeb"/>
        <w:keepNext w:val="0"/>
        <w:keepLines w:val="0"/>
        <w:pageBreakBefore w:val="0"/>
        <w:widowControl/>
        <w:kinsoku/>
        <w:wordWrap/>
        <w:overflowPunct/>
        <w:topLinePunct w:val="0"/>
        <w:autoSpaceDE/>
        <w:autoSpaceDN/>
        <w:bidi w:val="0"/>
        <w:spacing w:before="0" w:beforeAutospacing="0" w:after="0" w:afterAutospacing="0" w:line="360" w:lineRule="exact"/>
        <w:textAlignment w:val="auto"/>
        <w:rPr>
          <w:rFonts w:ascii="宋体" w:eastAsia="宋体" w:hAnsi="宋体" w:cs="宋体" w:hint="eastAsia"/>
          <w:sz w:val="21"/>
          <w:szCs w:val="21"/>
        </w:rPr>
      </w:pPr>
    </w:p>
    <w:p>
      <w:pPr>
        <w:pStyle w:val="NormalWeb"/>
        <w:keepNext w:val="0"/>
        <w:keepLines w:val="0"/>
        <w:pageBreakBefore w:val="0"/>
        <w:widowControl/>
        <w:kinsoku/>
        <w:wordWrap/>
        <w:overflowPunct/>
        <w:topLinePunct w:val="0"/>
        <w:autoSpaceDE/>
        <w:autoSpaceDN/>
        <w:bidi w:val="0"/>
        <w:spacing w:before="0" w:beforeAutospacing="0" w:after="0" w:afterAutospacing="0" w:line="360" w:lineRule="exact"/>
        <w:textAlignment w:val="auto"/>
        <w:rPr>
          <w:rFonts w:ascii="宋体" w:eastAsia="宋体" w:hAnsi="宋体" w:cs="宋体" w:hint="eastAsia"/>
          <w:sz w:val="21"/>
          <w:szCs w:val="21"/>
        </w:rPr>
      </w:pPr>
      <w:r>
        <w:rPr>
          <w:rFonts w:ascii="宋体" w:eastAsia="宋体" w:hAnsi="宋体" w:cs="宋体" w:hint="eastAsia"/>
          <w:sz w:val="21"/>
          <w:szCs w:val="21"/>
        </w:rPr>
        <w:t>三、获取招标文件</w:t>
      </w:r>
    </w:p>
    <w:p>
      <w:pPr>
        <w:pStyle w:val="NormalWeb"/>
        <w:keepNext w:val="0"/>
        <w:keepLines w:val="0"/>
        <w:pageBreakBefore w:val="0"/>
        <w:widowControl/>
        <w:kinsoku/>
        <w:wordWrap/>
        <w:overflowPunct/>
        <w:topLinePunct w:val="0"/>
        <w:autoSpaceDE/>
        <w:autoSpaceDN/>
        <w:bidi w:val="0"/>
        <w:spacing w:before="0" w:beforeAutospacing="0" w:after="0" w:afterAutospacing="0" w:line="360" w:lineRule="exact"/>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时间：</w:t>
      </w:r>
      <w:r>
        <w:rPr>
          <w:rFonts w:ascii="宋体" w:eastAsia="宋体" w:hAnsi="宋体" w:cs="宋体" w:hint="eastAsia"/>
          <w:b/>
          <w:sz w:val="21"/>
          <w:szCs w:val="21"/>
          <w:u w:val="single"/>
        </w:rPr>
        <w:t>自本公告发布之日起至</w:t>
      </w:r>
      <w:r>
        <w:rPr>
          <w:rFonts w:cs="宋体" w:hint="eastAsia"/>
          <w:b/>
          <w:sz w:val="21"/>
          <w:szCs w:val="21"/>
          <w:u w:val="single"/>
          <w:lang w:eastAsia="zh-CN"/>
        </w:rPr>
        <w:t>2026年</w:t>
      </w:r>
      <w:r>
        <w:rPr>
          <w:rFonts w:cs="宋体" w:hint="eastAsia"/>
          <w:b/>
          <w:sz w:val="21"/>
          <w:szCs w:val="21"/>
          <w:u w:val="single"/>
          <w:lang w:val="en-US" w:eastAsia="zh-CN"/>
        </w:rPr>
        <w:t>2</w:t>
      </w:r>
      <w:r>
        <w:rPr>
          <w:rFonts w:ascii="宋体" w:eastAsia="宋体" w:hAnsi="宋体" w:cs="宋体" w:hint="eastAsia"/>
          <w:b/>
          <w:sz w:val="21"/>
          <w:szCs w:val="21"/>
          <w:u w:val="single"/>
        </w:rPr>
        <w:t>月</w:t>
      </w:r>
      <w:r>
        <w:rPr>
          <w:rFonts w:cs="宋体" w:hint="eastAsia"/>
          <w:b/>
          <w:sz w:val="21"/>
          <w:szCs w:val="21"/>
          <w:u w:val="single"/>
          <w:lang w:val="en-US" w:eastAsia="zh-CN"/>
        </w:rPr>
        <w:t>25</w:t>
      </w:r>
      <w:r>
        <w:rPr>
          <w:rFonts w:ascii="宋体" w:eastAsia="宋体" w:hAnsi="宋体" w:cs="宋体" w:hint="eastAsia"/>
          <w:b/>
          <w:sz w:val="21"/>
          <w:szCs w:val="21"/>
          <w:u w:val="single"/>
        </w:rPr>
        <w:t>日</w:t>
      </w:r>
      <w:r>
        <w:rPr>
          <w:rFonts w:ascii="宋体" w:eastAsia="宋体" w:hAnsi="宋体" w:cs="宋体" w:hint="eastAsia"/>
          <w:sz w:val="21"/>
          <w:szCs w:val="21"/>
        </w:rPr>
        <w:t xml:space="preserve">。 </w:t>
      </w:r>
    </w:p>
    <w:p>
      <w:pPr>
        <w:pStyle w:val="NormalWeb"/>
        <w:keepNext w:val="0"/>
        <w:keepLines w:val="0"/>
        <w:pageBreakBefore w:val="0"/>
        <w:widowControl/>
        <w:kinsoku/>
        <w:wordWrap/>
        <w:overflowPunct/>
        <w:topLinePunct w:val="0"/>
        <w:autoSpaceDE/>
        <w:autoSpaceDN/>
        <w:bidi w:val="0"/>
        <w:spacing w:before="0" w:beforeAutospacing="0" w:after="0" w:afterAutospacing="0" w:line="360" w:lineRule="exact"/>
        <w:ind w:firstLine="420" w:firstLineChars="200"/>
        <w:textAlignment w:val="auto"/>
        <w:rPr>
          <w:rFonts w:ascii="宋体" w:eastAsia="宋体" w:hAnsi="宋体" w:cs="宋体" w:hint="eastAsia"/>
          <w:sz w:val="21"/>
          <w:szCs w:val="21"/>
        </w:rPr>
      </w:pPr>
    </w:p>
    <w:p>
      <w:pPr>
        <w:pStyle w:val="NormalWeb"/>
        <w:keepNext w:val="0"/>
        <w:keepLines w:val="0"/>
        <w:pageBreakBefore w:val="0"/>
        <w:widowControl/>
        <w:kinsoku/>
        <w:wordWrap/>
        <w:overflowPunct/>
        <w:topLinePunct w:val="0"/>
        <w:autoSpaceDE/>
        <w:autoSpaceDN/>
        <w:bidi w:val="0"/>
        <w:spacing w:before="0" w:beforeAutospacing="0" w:after="0" w:afterAutospacing="0" w:line="360" w:lineRule="exact"/>
        <w:textAlignment w:val="auto"/>
        <w:rPr>
          <w:rFonts w:ascii="宋体" w:eastAsia="宋体" w:hAnsi="宋体" w:cs="宋体" w:hint="eastAsia"/>
          <w:sz w:val="21"/>
          <w:szCs w:val="21"/>
        </w:rPr>
      </w:pPr>
      <w:r>
        <w:rPr>
          <w:rFonts w:ascii="宋体" w:eastAsia="宋体" w:hAnsi="宋体" w:cs="宋体" w:hint="eastAsia"/>
          <w:sz w:val="21"/>
          <w:szCs w:val="21"/>
        </w:rPr>
        <w:t>四、提交投标文件截止时间、开标时间和地点</w:t>
      </w:r>
    </w:p>
    <w:p>
      <w:pPr>
        <w:pStyle w:val="NormalWeb"/>
        <w:keepNext w:val="0"/>
        <w:keepLines w:val="0"/>
        <w:pageBreakBefore w:val="0"/>
        <w:widowControl/>
        <w:kinsoku/>
        <w:wordWrap/>
        <w:overflowPunct/>
        <w:topLinePunct w:val="0"/>
        <w:autoSpaceDE/>
        <w:autoSpaceDN/>
        <w:bidi w:val="0"/>
        <w:spacing w:before="0" w:beforeAutospacing="0" w:after="0" w:afterAutospacing="0" w:line="360" w:lineRule="exact"/>
        <w:ind w:firstLine="424" w:firstLineChars="202"/>
        <w:textAlignment w:val="auto"/>
        <w:rPr>
          <w:rFonts w:ascii="宋体" w:eastAsia="宋体" w:hAnsi="宋体" w:cs="宋体" w:hint="eastAsia"/>
          <w:sz w:val="21"/>
          <w:szCs w:val="21"/>
        </w:rPr>
      </w:pPr>
      <w:r>
        <w:rPr>
          <w:rFonts w:ascii="宋体" w:eastAsia="宋体" w:hAnsi="宋体" w:cs="宋体" w:hint="eastAsia"/>
          <w:sz w:val="21"/>
          <w:szCs w:val="21"/>
        </w:rPr>
        <w:t>1</w:t>
      </w:r>
      <w:r>
        <w:rPr>
          <w:rFonts w:ascii="宋体" w:eastAsia="宋体" w:hAnsi="宋体" w:cs="宋体" w:hint="eastAsia"/>
          <w:sz w:val="21"/>
          <w:szCs w:val="21"/>
          <w:lang w:val="en-US" w:eastAsia="zh-CN"/>
        </w:rPr>
        <w:t>.</w:t>
      </w:r>
      <w:r>
        <w:rPr>
          <w:rFonts w:ascii="宋体" w:eastAsia="宋体" w:hAnsi="宋体" w:cs="宋体" w:hint="eastAsia"/>
          <w:sz w:val="21"/>
          <w:szCs w:val="21"/>
        </w:rPr>
        <w:t>投标截止时间：所有投标文件应于</w:t>
      </w:r>
      <w:r>
        <w:rPr>
          <w:rFonts w:cs="宋体" w:hint="eastAsia"/>
          <w:b/>
          <w:sz w:val="21"/>
          <w:szCs w:val="21"/>
          <w:u w:val="single"/>
          <w:lang w:eastAsia="zh-CN"/>
        </w:rPr>
        <w:t>2026年</w:t>
      </w:r>
      <w:r>
        <w:rPr>
          <w:rFonts w:cs="宋体" w:hint="eastAsia"/>
          <w:b/>
          <w:sz w:val="21"/>
          <w:szCs w:val="21"/>
          <w:u w:val="single"/>
          <w:lang w:val="en-US" w:eastAsia="zh-CN"/>
        </w:rPr>
        <w:t>2</w:t>
      </w:r>
      <w:r>
        <w:rPr>
          <w:rFonts w:ascii="宋体" w:eastAsia="宋体" w:hAnsi="宋体" w:cs="宋体" w:hint="eastAsia"/>
          <w:b/>
          <w:sz w:val="21"/>
          <w:szCs w:val="21"/>
          <w:u w:val="single"/>
        </w:rPr>
        <w:t>月</w:t>
      </w:r>
      <w:r>
        <w:rPr>
          <w:rFonts w:cs="宋体" w:hint="eastAsia"/>
          <w:b/>
          <w:sz w:val="21"/>
          <w:szCs w:val="21"/>
          <w:u w:val="single"/>
          <w:lang w:val="en-US" w:eastAsia="zh-CN"/>
        </w:rPr>
        <w:t>25</w:t>
      </w:r>
      <w:r>
        <w:rPr>
          <w:rFonts w:ascii="宋体" w:eastAsia="宋体" w:hAnsi="宋体" w:cs="宋体" w:hint="eastAsia"/>
          <w:b/>
          <w:sz w:val="21"/>
          <w:szCs w:val="21"/>
          <w:u w:val="single"/>
        </w:rPr>
        <w:t>日</w:t>
      </w:r>
      <w:r>
        <w:rPr>
          <w:rFonts w:cs="宋体" w:hint="eastAsia"/>
          <w:b/>
          <w:sz w:val="21"/>
          <w:szCs w:val="21"/>
          <w:u w:val="single"/>
          <w:lang w:val="en-US" w:eastAsia="zh-CN"/>
        </w:rPr>
        <w:t>9</w:t>
      </w:r>
      <w:r>
        <w:rPr>
          <w:rFonts w:ascii="宋体" w:eastAsia="宋体" w:hAnsi="宋体" w:cs="宋体" w:hint="eastAsia"/>
          <w:b/>
          <w:sz w:val="21"/>
          <w:szCs w:val="21"/>
          <w:u w:val="single"/>
        </w:rPr>
        <w:t>:00（北京时间）</w:t>
      </w:r>
      <w:r>
        <w:rPr>
          <w:rFonts w:ascii="宋体" w:eastAsia="宋体" w:hAnsi="宋体" w:cs="宋体" w:hint="eastAsia"/>
          <w:sz w:val="21"/>
          <w:szCs w:val="21"/>
        </w:rPr>
        <w:t>之前上传到深圳政府采购智慧平台（http://zfcg.szggzy.com:8081/）。</w:t>
      </w:r>
    </w:p>
    <w:p>
      <w:pPr>
        <w:pStyle w:val="NormalWeb"/>
        <w:keepNext w:val="0"/>
        <w:keepLines w:val="0"/>
        <w:pageBreakBefore w:val="0"/>
        <w:widowControl/>
        <w:kinsoku/>
        <w:wordWrap/>
        <w:overflowPunct/>
        <w:topLinePunct w:val="0"/>
        <w:autoSpaceDE/>
        <w:autoSpaceDN/>
        <w:bidi w:val="0"/>
        <w:spacing w:before="0" w:beforeAutospacing="0" w:after="0" w:afterAutospacing="0" w:line="360" w:lineRule="exact"/>
        <w:ind w:firstLine="424" w:firstLineChars="202"/>
        <w:textAlignment w:val="auto"/>
        <w:rPr>
          <w:rFonts w:ascii="宋体" w:eastAsia="宋体" w:hAnsi="宋体" w:cs="宋体" w:hint="eastAsia"/>
          <w:sz w:val="21"/>
          <w:szCs w:val="21"/>
        </w:rPr>
      </w:pPr>
      <w:r>
        <w:rPr>
          <w:rFonts w:ascii="宋体" w:eastAsia="宋体" w:hAnsi="宋体" w:cs="宋体" w:hint="eastAsia"/>
          <w:sz w:val="21"/>
          <w:szCs w:val="21"/>
        </w:rPr>
        <w:t>2</w:t>
      </w:r>
      <w:r>
        <w:rPr>
          <w:rFonts w:ascii="宋体" w:eastAsia="宋体" w:hAnsi="宋体" w:cs="宋体" w:hint="eastAsia"/>
          <w:sz w:val="21"/>
          <w:szCs w:val="21"/>
          <w:lang w:val="en-US" w:eastAsia="zh-CN"/>
        </w:rPr>
        <w:t>.</w:t>
      </w:r>
      <w:r>
        <w:rPr>
          <w:rFonts w:ascii="宋体" w:eastAsia="宋体" w:hAnsi="宋体" w:cs="宋体" w:hint="eastAsia"/>
          <w:sz w:val="21"/>
          <w:szCs w:val="21"/>
        </w:rPr>
        <w:t>开标时间和地点：定于</w:t>
      </w:r>
      <w:r>
        <w:rPr>
          <w:rFonts w:cs="宋体" w:hint="eastAsia"/>
          <w:b/>
          <w:sz w:val="21"/>
          <w:szCs w:val="21"/>
          <w:u w:val="single"/>
          <w:lang w:eastAsia="zh-CN"/>
        </w:rPr>
        <w:t>2026年</w:t>
      </w:r>
      <w:r>
        <w:rPr>
          <w:rFonts w:cs="宋体" w:hint="eastAsia"/>
          <w:b/>
          <w:sz w:val="21"/>
          <w:szCs w:val="21"/>
          <w:u w:val="single"/>
          <w:lang w:val="en-US" w:eastAsia="zh-CN"/>
        </w:rPr>
        <w:t>2</w:t>
      </w:r>
      <w:r>
        <w:rPr>
          <w:rFonts w:ascii="宋体" w:eastAsia="宋体" w:hAnsi="宋体" w:cs="宋体" w:hint="eastAsia"/>
          <w:b/>
          <w:sz w:val="21"/>
          <w:szCs w:val="21"/>
          <w:u w:val="single"/>
        </w:rPr>
        <w:t>月</w:t>
      </w:r>
      <w:r>
        <w:rPr>
          <w:rFonts w:cs="宋体" w:hint="eastAsia"/>
          <w:b/>
          <w:sz w:val="21"/>
          <w:szCs w:val="21"/>
          <w:u w:val="single"/>
          <w:lang w:val="en-US" w:eastAsia="zh-CN"/>
        </w:rPr>
        <w:t>25</w:t>
      </w:r>
      <w:r>
        <w:rPr>
          <w:rFonts w:ascii="宋体" w:eastAsia="宋体" w:hAnsi="宋体" w:cs="宋体" w:hint="eastAsia"/>
          <w:b/>
          <w:sz w:val="21"/>
          <w:szCs w:val="21"/>
          <w:u w:val="single"/>
        </w:rPr>
        <w:t>日</w:t>
      </w:r>
      <w:r>
        <w:rPr>
          <w:rFonts w:cs="宋体" w:hint="eastAsia"/>
          <w:b/>
          <w:sz w:val="21"/>
          <w:szCs w:val="21"/>
          <w:u w:val="single"/>
          <w:lang w:val="en-US" w:eastAsia="zh-CN"/>
        </w:rPr>
        <w:t>9</w:t>
      </w:r>
      <w:r>
        <w:rPr>
          <w:rFonts w:ascii="宋体" w:eastAsia="宋体" w:hAnsi="宋体" w:cs="宋体" w:hint="eastAsia"/>
          <w:b/>
          <w:sz w:val="21"/>
          <w:szCs w:val="21"/>
          <w:u w:val="single"/>
        </w:rPr>
        <w:t>:00（北京时间）</w:t>
      </w:r>
      <w:r>
        <w:rPr>
          <w:rFonts w:ascii="宋体" w:eastAsia="宋体" w:hAnsi="宋体" w:cs="宋体" w:hint="eastAsia"/>
          <w:sz w:val="21"/>
          <w:szCs w:val="21"/>
        </w:rPr>
        <w:t>，在深圳市中正招标有限公司公开开标。</w:t>
      </w:r>
    </w:p>
    <w:p>
      <w:pPr>
        <w:pStyle w:val="NormalWeb"/>
        <w:keepNext w:val="0"/>
        <w:keepLines w:val="0"/>
        <w:pageBreakBefore w:val="0"/>
        <w:widowControl/>
        <w:kinsoku/>
        <w:wordWrap/>
        <w:overflowPunct/>
        <w:topLinePunct w:val="0"/>
        <w:autoSpaceDE/>
        <w:autoSpaceDN/>
        <w:bidi w:val="0"/>
        <w:spacing w:before="0" w:beforeAutospacing="0" w:after="0" w:afterAutospacing="0" w:line="360" w:lineRule="exact"/>
        <w:ind w:firstLine="424" w:firstLineChars="202"/>
        <w:textAlignment w:val="auto"/>
        <w:rPr>
          <w:rFonts w:ascii="宋体" w:eastAsia="宋体" w:hAnsi="宋体" w:cs="宋体" w:hint="eastAsia"/>
          <w:b/>
          <w:sz w:val="21"/>
          <w:szCs w:val="21"/>
        </w:rPr>
      </w:pPr>
      <w:r>
        <w:rPr>
          <w:rFonts w:ascii="宋体" w:eastAsia="宋体" w:hAnsi="宋体" w:cs="宋体" w:hint="eastAsia"/>
          <w:b/>
          <w:sz w:val="21"/>
          <w:szCs w:val="21"/>
        </w:rPr>
        <w:t>3</w:t>
      </w:r>
      <w:r>
        <w:rPr>
          <w:rFonts w:ascii="宋体" w:eastAsia="宋体" w:hAnsi="宋体" w:cs="宋体" w:hint="eastAsia"/>
          <w:b/>
          <w:sz w:val="21"/>
          <w:szCs w:val="21"/>
          <w:lang w:val="en-US" w:eastAsia="zh-CN"/>
        </w:rPr>
        <w:t>.</w:t>
      </w:r>
      <w:r>
        <w:rPr>
          <w:rFonts w:ascii="宋体" w:eastAsia="宋体" w:hAnsi="宋体" w:cs="宋体" w:hint="eastAsia"/>
          <w:b/>
          <w:sz w:val="21"/>
          <w:szCs w:val="21"/>
        </w:rPr>
        <w:t>在线解密：投标人须在</w:t>
      </w:r>
      <w:r>
        <w:rPr>
          <w:rFonts w:cs="宋体" w:hint="eastAsia"/>
          <w:b/>
          <w:sz w:val="21"/>
          <w:szCs w:val="21"/>
          <w:u w:val="single"/>
          <w:lang w:eastAsia="zh-CN"/>
        </w:rPr>
        <w:t>2026年</w:t>
      </w:r>
      <w:r>
        <w:rPr>
          <w:rFonts w:cs="宋体" w:hint="eastAsia"/>
          <w:b/>
          <w:sz w:val="21"/>
          <w:szCs w:val="21"/>
          <w:u w:val="single"/>
          <w:lang w:val="en-US" w:eastAsia="zh-CN"/>
        </w:rPr>
        <w:t>2</w:t>
      </w:r>
      <w:r>
        <w:rPr>
          <w:rFonts w:ascii="宋体" w:eastAsia="宋体" w:hAnsi="宋体" w:cs="宋体" w:hint="eastAsia"/>
          <w:b/>
          <w:sz w:val="21"/>
          <w:szCs w:val="21"/>
          <w:u w:val="single"/>
        </w:rPr>
        <w:t>月</w:t>
      </w:r>
      <w:r>
        <w:rPr>
          <w:rFonts w:cs="宋体" w:hint="eastAsia"/>
          <w:b/>
          <w:sz w:val="21"/>
          <w:szCs w:val="21"/>
          <w:u w:val="single"/>
          <w:lang w:val="en-US" w:eastAsia="zh-CN"/>
        </w:rPr>
        <w:t>25</w:t>
      </w:r>
      <w:r>
        <w:rPr>
          <w:rFonts w:ascii="宋体" w:eastAsia="宋体" w:hAnsi="宋体" w:cs="宋体" w:hint="eastAsia"/>
          <w:b/>
          <w:sz w:val="21"/>
          <w:szCs w:val="21"/>
          <w:u w:val="single"/>
        </w:rPr>
        <w:t>日</w:t>
      </w:r>
      <w:r>
        <w:rPr>
          <w:rFonts w:cs="宋体" w:hint="eastAsia"/>
          <w:b/>
          <w:sz w:val="21"/>
          <w:szCs w:val="21"/>
          <w:u w:val="single"/>
          <w:lang w:val="en-US" w:eastAsia="zh-CN"/>
        </w:rPr>
        <w:t>9</w:t>
      </w:r>
      <w:r>
        <w:rPr>
          <w:rFonts w:ascii="宋体" w:eastAsia="宋体" w:hAnsi="宋体" w:cs="宋体" w:hint="eastAsia"/>
          <w:b/>
          <w:sz w:val="21"/>
          <w:szCs w:val="21"/>
          <w:u w:val="single"/>
        </w:rPr>
        <w:t>:00-</w:t>
      </w:r>
      <w:r>
        <w:rPr>
          <w:rFonts w:cs="宋体" w:hint="eastAsia"/>
          <w:b/>
          <w:sz w:val="21"/>
          <w:szCs w:val="21"/>
          <w:u w:val="single"/>
          <w:lang w:val="en-US" w:eastAsia="zh-CN"/>
        </w:rPr>
        <w:t>10</w:t>
      </w:r>
      <w:r>
        <w:rPr>
          <w:rFonts w:ascii="宋体" w:eastAsia="宋体" w:hAnsi="宋体" w:cs="宋体" w:hint="eastAsia"/>
          <w:b/>
          <w:sz w:val="21"/>
          <w:szCs w:val="21"/>
          <w:u w:val="single"/>
        </w:rPr>
        <w:t>:00（北京时间）</w:t>
      </w:r>
      <w:r>
        <w:rPr>
          <w:rFonts w:ascii="宋体" w:eastAsia="宋体" w:hAnsi="宋体" w:cs="宋体" w:hint="eastAsia"/>
          <w:b/>
          <w:sz w:val="21"/>
          <w:szCs w:val="21"/>
        </w:rPr>
        <w:t>期间进行解密，逾期未解密的作无效处理。</w:t>
      </w:r>
    </w:p>
    <w:p>
      <w:pPr>
        <w:pStyle w:val="NormalWeb"/>
        <w:keepNext w:val="0"/>
        <w:keepLines w:val="0"/>
        <w:pageBreakBefore w:val="0"/>
        <w:widowControl/>
        <w:kinsoku/>
        <w:wordWrap/>
        <w:overflowPunct/>
        <w:topLinePunct w:val="0"/>
        <w:autoSpaceDE/>
        <w:autoSpaceDN/>
        <w:bidi w:val="0"/>
        <w:spacing w:before="0" w:beforeAutospacing="0" w:after="0" w:afterAutospacing="0" w:line="360" w:lineRule="exact"/>
        <w:ind w:left="420" w:leftChars="200"/>
        <w:textAlignment w:val="auto"/>
        <w:rPr>
          <w:rFonts w:ascii="宋体" w:eastAsia="宋体" w:hAnsi="宋体" w:cs="宋体" w:hint="eastAsia"/>
          <w:sz w:val="21"/>
          <w:szCs w:val="21"/>
        </w:rPr>
      </w:pPr>
    </w:p>
    <w:p>
      <w:pPr>
        <w:pStyle w:val="NormalWeb"/>
        <w:keepNext w:val="0"/>
        <w:keepLines w:val="0"/>
        <w:pageBreakBefore w:val="0"/>
        <w:widowControl/>
        <w:kinsoku/>
        <w:wordWrap/>
        <w:overflowPunct/>
        <w:topLinePunct w:val="0"/>
        <w:autoSpaceDE/>
        <w:autoSpaceDN/>
        <w:bidi w:val="0"/>
        <w:spacing w:before="0" w:beforeAutospacing="0" w:after="0" w:afterAutospacing="0" w:line="360" w:lineRule="exact"/>
        <w:textAlignment w:val="auto"/>
        <w:rPr>
          <w:rFonts w:ascii="宋体" w:eastAsia="宋体" w:hAnsi="宋体" w:cs="宋体" w:hint="eastAsia"/>
          <w:sz w:val="21"/>
          <w:szCs w:val="21"/>
        </w:rPr>
      </w:pPr>
      <w:r>
        <w:rPr>
          <w:rFonts w:ascii="宋体" w:eastAsia="宋体" w:hAnsi="宋体" w:cs="宋体" w:hint="eastAsia"/>
          <w:sz w:val="21"/>
          <w:szCs w:val="21"/>
        </w:rPr>
        <w:t>五、公告期限</w:t>
      </w:r>
    </w:p>
    <w:p>
      <w:pPr>
        <w:pStyle w:val="NormalWeb"/>
        <w:keepNext w:val="0"/>
        <w:keepLines w:val="0"/>
        <w:pageBreakBefore w:val="0"/>
        <w:widowControl/>
        <w:kinsoku/>
        <w:wordWrap/>
        <w:overflowPunct/>
        <w:topLinePunct w:val="0"/>
        <w:autoSpaceDE/>
        <w:autoSpaceDN/>
        <w:bidi w:val="0"/>
        <w:spacing w:before="0" w:beforeAutospacing="0" w:after="0" w:afterAutospacing="0" w:line="360" w:lineRule="exact"/>
        <w:ind w:firstLine="420" w:firstLineChars="200"/>
        <w:textAlignment w:val="auto"/>
        <w:rPr>
          <w:rFonts w:ascii="宋体" w:eastAsia="宋体" w:hAnsi="宋体" w:cs="宋体" w:hint="eastAsia"/>
          <w:sz w:val="21"/>
          <w:szCs w:val="21"/>
        </w:rPr>
      </w:pPr>
      <w:r>
        <w:rPr>
          <w:rFonts w:ascii="宋体" w:eastAsia="宋体" w:hAnsi="宋体" w:cs="宋体" w:hint="eastAsia"/>
          <w:sz w:val="21"/>
          <w:szCs w:val="21"/>
        </w:rPr>
        <w:t>自本公告发布之日起5个工作日。</w:t>
      </w:r>
    </w:p>
    <w:p>
      <w:pPr>
        <w:pStyle w:val="NormalWeb"/>
        <w:keepNext w:val="0"/>
        <w:keepLines w:val="0"/>
        <w:pageBreakBefore w:val="0"/>
        <w:widowControl/>
        <w:kinsoku/>
        <w:wordWrap/>
        <w:overflowPunct/>
        <w:topLinePunct w:val="0"/>
        <w:autoSpaceDE/>
        <w:autoSpaceDN/>
        <w:bidi w:val="0"/>
        <w:spacing w:before="0" w:beforeAutospacing="0" w:after="0" w:afterAutospacing="0" w:line="360" w:lineRule="exact"/>
        <w:ind w:firstLine="420" w:firstLineChars="200"/>
        <w:textAlignment w:val="auto"/>
        <w:rPr>
          <w:rFonts w:ascii="宋体" w:eastAsia="宋体" w:hAnsi="宋体" w:cs="宋体" w:hint="eastAsia"/>
          <w:sz w:val="21"/>
          <w:szCs w:val="21"/>
        </w:rPr>
      </w:pPr>
    </w:p>
    <w:p>
      <w:pPr>
        <w:pStyle w:val="NormalWeb"/>
        <w:keepNext w:val="0"/>
        <w:keepLines w:val="0"/>
        <w:pageBreakBefore w:val="0"/>
        <w:widowControl/>
        <w:kinsoku/>
        <w:wordWrap/>
        <w:overflowPunct/>
        <w:topLinePunct w:val="0"/>
        <w:autoSpaceDE/>
        <w:autoSpaceDN/>
        <w:bidi w:val="0"/>
        <w:spacing w:before="0" w:beforeAutospacing="0" w:after="0" w:afterAutospacing="0" w:line="360" w:lineRule="exact"/>
        <w:textAlignment w:val="auto"/>
        <w:rPr>
          <w:rFonts w:ascii="宋体" w:eastAsia="宋体" w:hAnsi="宋体" w:cs="宋体" w:hint="eastAsia"/>
          <w:sz w:val="21"/>
          <w:szCs w:val="21"/>
        </w:rPr>
      </w:pPr>
      <w:r>
        <w:rPr>
          <w:rFonts w:ascii="宋体" w:eastAsia="宋体" w:hAnsi="宋体" w:cs="宋体" w:hint="eastAsia"/>
          <w:sz w:val="21"/>
          <w:szCs w:val="21"/>
        </w:rPr>
        <w:t>六、其他补充事宜</w:t>
      </w:r>
    </w:p>
    <w:p>
      <w:pPr>
        <w:pStyle w:val="NormalWeb"/>
        <w:spacing w:before="0" w:beforeAutospacing="0" w:after="0" w:afterAutospacing="0" w:line="360" w:lineRule="exact"/>
        <w:ind w:firstLine="424" w:firstLineChars="202"/>
        <w:rPr>
          <w:sz w:val="21"/>
          <w:szCs w:val="21"/>
        </w:rPr>
      </w:pPr>
      <w:r>
        <w:rPr>
          <w:rFonts w:hint="eastAsia"/>
          <w:sz w:val="21"/>
          <w:szCs w:val="21"/>
        </w:rPr>
        <w:t>1.本项目实行网上投标，采用电子投标文件。</w:t>
      </w:r>
    </w:p>
    <w:p>
      <w:pPr>
        <w:pStyle w:val="NormalWeb"/>
        <w:keepNext w:val="0"/>
        <w:keepLines w:val="0"/>
        <w:pageBreakBefore w:val="0"/>
        <w:widowControl/>
        <w:kinsoku/>
        <w:wordWrap/>
        <w:overflowPunct/>
        <w:topLinePunct w:val="0"/>
        <w:autoSpaceDE/>
        <w:autoSpaceDN/>
        <w:bidi w:val="0"/>
        <w:spacing w:before="0" w:beforeAutospacing="0" w:after="0" w:afterAutospacing="0" w:line="360" w:lineRule="exact"/>
        <w:ind w:firstLine="424" w:firstLineChars="202"/>
        <w:textAlignment w:val="auto"/>
        <w:rPr>
          <w:rFonts w:ascii="宋体" w:eastAsia="宋体" w:hAnsi="宋体" w:cs="宋体" w:hint="eastAsia"/>
          <w:sz w:val="21"/>
          <w:szCs w:val="21"/>
        </w:rPr>
      </w:pPr>
    </w:p>
    <w:p>
      <w:pPr>
        <w:pStyle w:val="NormalWeb"/>
        <w:keepNext w:val="0"/>
        <w:keepLines w:val="0"/>
        <w:pageBreakBefore w:val="0"/>
        <w:widowControl/>
        <w:kinsoku/>
        <w:wordWrap/>
        <w:overflowPunct/>
        <w:topLinePunct w:val="0"/>
        <w:autoSpaceDE/>
        <w:autoSpaceDN/>
        <w:bidi w:val="0"/>
        <w:spacing w:before="0" w:beforeAutospacing="0" w:after="0" w:afterAutospacing="0" w:line="360" w:lineRule="exact"/>
        <w:textAlignment w:val="auto"/>
        <w:rPr>
          <w:rFonts w:ascii="宋体" w:eastAsia="宋体" w:hAnsi="宋体" w:cs="宋体" w:hint="eastAsia"/>
          <w:sz w:val="21"/>
          <w:szCs w:val="21"/>
        </w:rPr>
      </w:pPr>
      <w:r>
        <w:rPr>
          <w:rFonts w:ascii="宋体" w:eastAsia="宋体" w:hAnsi="宋体" w:cs="宋体" w:hint="eastAsia"/>
          <w:sz w:val="21"/>
          <w:szCs w:val="21"/>
        </w:rPr>
        <w:t>七、对本次招标提出询问，请按以下方式联系。</w:t>
      </w:r>
    </w:p>
    <w:p>
      <w:pPr>
        <w:pStyle w:val="NormalWeb"/>
        <w:keepNext w:val="0"/>
        <w:keepLines w:val="0"/>
        <w:pageBreakBefore w:val="0"/>
        <w:widowControl/>
        <w:kinsoku/>
        <w:wordWrap/>
        <w:overflowPunct/>
        <w:topLinePunct w:val="0"/>
        <w:autoSpaceDE/>
        <w:autoSpaceDN/>
        <w:bidi w:val="0"/>
        <w:spacing w:before="0" w:beforeAutospacing="0" w:after="0" w:afterAutospacing="0" w:line="360" w:lineRule="exact"/>
        <w:ind w:firstLine="424" w:firstLineChars="202"/>
        <w:textAlignment w:val="auto"/>
        <w:rPr>
          <w:rFonts w:ascii="宋体" w:eastAsia="宋体" w:hAnsi="宋体" w:cs="宋体" w:hint="eastAsia"/>
          <w:sz w:val="21"/>
          <w:szCs w:val="21"/>
        </w:rPr>
      </w:pPr>
      <w:r>
        <w:rPr>
          <w:rFonts w:ascii="宋体" w:eastAsia="宋体" w:hAnsi="宋体" w:cs="宋体" w:hint="eastAsia"/>
          <w:sz w:val="21"/>
          <w:szCs w:val="21"/>
        </w:rPr>
        <w:t>1</w:t>
      </w:r>
      <w:r>
        <w:rPr>
          <w:rFonts w:ascii="宋体" w:eastAsia="宋体" w:hAnsi="宋体" w:cs="宋体" w:hint="eastAsia"/>
          <w:sz w:val="21"/>
          <w:szCs w:val="21"/>
          <w:lang w:val="en-US" w:eastAsia="zh-CN"/>
        </w:rPr>
        <w:t>.</w:t>
      </w:r>
      <w:r>
        <w:rPr>
          <w:rFonts w:ascii="宋体" w:eastAsia="宋体" w:hAnsi="宋体" w:cs="宋体" w:hint="eastAsia"/>
          <w:sz w:val="21"/>
          <w:szCs w:val="21"/>
        </w:rPr>
        <w:t xml:space="preserve">采购人信息 </w:t>
      </w:r>
    </w:p>
    <w:p>
      <w:pPr>
        <w:pStyle w:val="p9"/>
        <w:keepNext w:val="0"/>
        <w:keepLines w:val="0"/>
        <w:pageBreakBefore w:val="0"/>
        <w:kinsoku/>
        <w:wordWrap/>
        <w:overflowPunct/>
        <w:topLinePunct w:val="0"/>
        <w:autoSpaceDE/>
        <w:autoSpaceDN/>
        <w:bidi w:val="0"/>
        <w:adjustRightInd w:val="0"/>
        <w:snapToGrid w:val="0"/>
        <w:spacing w:before="0" w:beforeAutospacing="0" w:after="0" w:afterAutospacing="0" w:line="360" w:lineRule="exact"/>
        <w:ind w:left="359" w:firstLine="65" w:leftChars="171" w:firstLineChars="31"/>
        <w:textAlignment w:val="auto"/>
        <w:rPr>
          <w:rFonts w:ascii="宋体" w:eastAsia="宋体" w:hAnsi="宋体" w:cs="宋体" w:hint="eastAsia"/>
          <w:snapToGrid w:val="0"/>
          <w:color w:val="auto"/>
          <w:sz w:val="21"/>
          <w:szCs w:val="21"/>
          <w:lang w:eastAsia="zh-CN"/>
        </w:rPr>
      </w:pPr>
      <w:r>
        <w:rPr>
          <w:rFonts w:ascii="宋体" w:eastAsia="宋体" w:hAnsi="宋体" w:cs="宋体" w:hint="eastAsia"/>
          <w:snapToGrid w:val="0"/>
          <w:color w:val="auto"/>
          <w:sz w:val="21"/>
          <w:szCs w:val="21"/>
        </w:rPr>
        <w:t>名称：</w:t>
      </w:r>
      <w:r>
        <w:rPr>
          <w:rFonts w:ascii="宋体" w:eastAsia="宋体" w:hAnsi="宋体" w:cs="宋体" w:hint="eastAsia"/>
          <w:snapToGrid w:val="0"/>
          <w:color w:val="auto"/>
          <w:sz w:val="21"/>
          <w:szCs w:val="21"/>
          <w:lang w:eastAsia="zh-CN"/>
        </w:rPr>
        <w:t>深圳市公安局宝安分局</w:t>
      </w:r>
    </w:p>
    <w:p>
      <w:pPr>
        <w:pStyle w:val="p9"/>
        <w:keepNext w:val="0"/>
        <w:keepLines w:val="0"/>
        <w:pageBreakBefore w:val="0"/>
        <w:kinsoku/>
        <w:wordWrap/>
        <w:overflowPunct/>
        <w:topLinePunct w:val="0"/>
        <w:autoSpaceDE/>
        <w:autoSpaceDN/>
        <w:bidi w:val="0"/>
        <w:adjustRightInd w:val="0"/>
        <w:snapToGrid w:val="0"/>
        <w:spacing w:before="0" w:beforeAutospacing="0" w:after="0" w:afterAutospacing="0" w:line="360" w:lineRule="exact"/>
        <w:ind w:left="359" w:firstLine="65" w:leftChars="171" w:firstLineChars="31"/>
        <w:textAlignment w:val="auto"/>
        <w:rPr>
          <w:rFonts w:ascii="宋体" w:eastAsia="宋体" w:hAnsi="宋体" w:cs="宋体" w:hint="eastAsia"/>
          <w:snapToGrid w:val="0"/>
          <w:color w:val="auto"/>
          <w:sz w:val="21"/>
          <w:szCs w:val="21"/>
          <w:lang w:eastAsia="zh-CN"/>
        </w:rPr>
      </w:pPr>
      <w:r>
        <w:rPr>
          <w:rFonts w:ascii="宋体" w:eastAsia="宋体" w:hAnsi="宋体" w:cs="宋体" w:hint="eastAsia"/>
          <w:snapToGrid w:val="0"/>
          <w:color w:val="auto"/>
          <w:sz w:val="21"/>
          <w:szCs w:val="21"/>
        </w:rPr>
        <w:t>地址：</w:t>
      </w:r>
      <w:r>
        <w:rPr>
          <w:rFonts w:ascii="宋体" w:eastAsia="宋体" w:hAnsi="宋体" w:cs="宋体" w:hint="eastAsia"/>
          <w:snapToGrid w:val="0"/>
          <w:color w:val="auto"/>
          <w:sz w:val="21"/>
          <w:szCs w:val="21"/>
          <w:lang w:eastAsia="zh-CN"/>
        </w:rPr>
        <w:t>深圳市宝安区湖滨东路3号</w:t>
      </w:r>
    </w:p>
    <w:p>
      <w:pPr>
        <w:pStyle w:val="p9"/>
        <w:keepNext w:val="0"/>
        <w:keepLines w:val="0"/>
        <w:pageBreakBefore w:val="0"/>
        <w:kinsoku/>
        <w:wordWrap/>
        <w:overflowPunct/>
        <w:topLinePunct w:val="0"/>
        <w:autoSpaceDE/>
        <w:autoSpaceDN/>
        <w:bidi w:val="0"/>
        <w:adjustRightInd w:val="0"/>
        <w:snapToGrid w:val="0"/>
        <w:spacing w:before="0" w:beforeAutospacing="0" w:after="0" w:afterAutospacing="0" w:line="360" w:lineRule="exact"/>
        <w:ind w:left="359" w:firstLine="65" w:leftChars="171" w:firstLineChars="31"/>
        <w:textAlignment w:val="auto"/>
        <w:rPr>
          <w:rFonts w:ascii="宋体" w:eastAsia="宋体" w:hAnsi="宋体" w:cs="宋体" w:hint="eastAsia"/>
          <w:snapToGrid w:val="0"/>
          <w:color w:val="auto"/>
          <w:sz w:val="21"/>
          <w:szCs w:val="21"/>
        </w:rPr>
      </w:pPr>
      <w:r>
        <w:rPr>
          <w:rFonts w:ascii="宋体" w:eastAsia="宋体" w:hAnsi="宋体" w:cs="宋体" w:hint="eastAsia"/>
          <w:snapToGrid w:val="0"/>
          <w:color w:val="auto"/>
          <w:sz w:val="21"/>
          <w:szCs w:val="21"/>
        </w:rPr>
        <w:t>联系方式：万警官 0755-84467192</w:t>
      </w:r>
    </w:p>
    <w:p>
      <w:pPr>
        <w:pStyle w:val="NormalWeb"/>
        <w:keepNext w:val="0"/>
        <w:keepLines w:val="0"/>
        <w:pageBreakBefore w:val="0"/>
        <w:widowControl/>
        <w:kinsoku/>
        <w:wordWrap/>
        <w:overflowPunct/>
        <w:topLinePunct w:val="0"/>
        <w:autoSpaceDE/>
        <w:autoSpaceDN/>
        <w:bidi w:val="0"/>
        <w:spacing w:before="0" w:beforeAutospacing="0" w:after="0" w:afterAutospacing="0" w:line="360" w:lineRule="exact"/>
        <w:ind w:firstLine="424" w:firstLineChars="202"/>
        <w:textAlignment w:val="auto"/>
        <w:rPr>
          <w:rFonts w:ascii="宋体" w:eastAsia="宋体" w:hAnsi="宋体" w:cs="宋体" w:hint="eastAsia"/>
          <w:sz w:val="21"/>
          <w:szCs w:val="21"/>
        </w:rPr>
      </w:pPr>
      <w:r>
        <w:rPr>
          <w:rFonts w:ascii="宋体" w:eastAsia="宋体" w:hAnsi="宋体" w:cs="宋体" w:hint="eastAsia"/>
          <w:sz w:val="21"/>
          <w:szCs w:val="21"/>
        </w:rPr>
        <w:t>2</w:t>
      </w:r>
      <w:r>
        <w:rPr>
          <w:rFonts w:ascii="宋体" w:eastAsia="宋体" w:hAnsi="宋体" w:cs="宋体" w:hint="eastAsia"/>
          <w:sz w:val="21"/>
          <w:szCs w:val="21"/>
          <w:lang w:val="en-US" w:eastAsia="zh-CN"/>
        </w:rPr>
        <w:t>.</w:t>
      </w:r>
      <w:r>
        <w:rPr>
          <w:rFonts w:ascii="宋体" w:eastAsia="宋体" w:hAnsi="宋体" w:cs="宋体" w:hint="eastAsia"/>
          <w:sz w:val="21"/>
          <w:szCs w:val="21"/>
        </w:rPr>
        <w:t xml:space="preserve">采购代理机构信息 </w:t>
      </w:r>
    </w:p>
    <w:p>
      <w:pPr>
        <w:pStyle w:val="NormalWeb"/>
        <w:keepNext w:val="0"/>
        <w:keepLines w:val="0"/>
        <w:pageBreakBefore w:val="0"/>
        <w:widowControl/>
        <w:kinsoku/>
        <w:wordWrap/>
        <w:overflowPunct/>
        <w:topLinePunct w:val="0"/>
        <w:autoSpaceDE/>
        <w:autoSpaceDN/>
        <w:bidi w:val="0"/>
        <w:spacing w:before="0" w:beforeAutospacing="0" w:after="0" w:afterAutospacing="0" w:line="360" w:lineRule="exact"/>
        <w:ind w:firstLine="424" w:firstLineChars="202"/>
        <w:textAlignment w:val="auto"/>
        <w:rPr>
          <w:rFonts w:ascii="宋体" w:eastAsia="宋体" w:hAnsi="宋体" w:cs="宋体" w:hint="eastAsia"/>
          <w:sz w:val="21"/>
          <w:szCs w:val="21"/>
        </w:rPr>
      </w:pPr>
      <w:r>
        <w:rPr>
          <w:rFonts w:ascii="宋体" w:eastAsia="宋体" w:hAnsi="宋体" w:cs="宋体" w:hint="eastAsia"/>
          <w:sz w:val="21"/>
          <w:szCs w:val="21"/>
        </w:rPr>
        <w:t xml:space="preserve">名称：深圳市中正招标有限公司 </w:t>
      </w:r>
    </w:p>
    <w:p>
      <w:pPr>
        <w:pStyle w:val="NormalWeb"/>
        <w:keepNext w:val="0"/>
        <w:keepLines w:val="0"/>
        <w:pageBreakBefore w:val="0"/>
        <w:widowControl/>
        <w:kinsoku/>
        <w:wordWrap/>
        <w:overflowPunct/>
        <w:topLinePunct w:val="0"/>
        <w:autoSpaceDE/>
        <w:autoSpaceDN/>
        <w:bidi w:val="0"/>
        <w:spacing w:before="0" w:beforeAutospacing="0" w:after="0" w:afterAutospacing="0" w:line="360" w:lineRule="exact"/>
        <w:ind w:firstLine="424" w:firstLineChars="202"/>
        <w:textAlignment w:val="auto"/>
        <w:rPr>
          <w:rFonts w:ascii="宋体" w:eastAsia="宋体" w:hAnsi="宋体" w:cs="宋体" w:hint="eastAsia"/>
          <w:sz w:val="21"/>
          <w:szCs w:val="21"/>
        </w:rPr>
      </w:pPr>
      <w:r>
        <w:rPr>
          <w:rFonts w:ascii="宋体" w:eastAsia="宋体" w:hAnsi="宋体" w:cs="宋体" w:hint="eastAsia"/>
          <w:sz w:val="21"/>
          <w:szCs w:val="21"/>
        </w:rPr>
        <w:t>地址：深圳市福田区民田路171号新华保险大厦903</w:t>
      </w:r>
    </w:p>
    <w:p>
      <w:pPr>
        <w:pStyle w:val="NormalWeb"/>
        <w:keepNext w:val="0"/>
        <w:keepLines w:val="0"/>
        <w:pageBreakBefore w:val="0"/>
        <w:widowControl/>
        <w:kinsoku/>
        <w:wordWrap/>
        <w:overflowPunct/>
        <w:topLinePunct w:val="0"/>
        <w:autoSpaceDE/>
        <w:autoSpaceDN/>
        <w:bidi w:val="0"/>
        <w:spacing w:before="0" w:beforeAutospacing="0" w:after="0" w:afterAutospacing="0" w:line="360" w:lineRule="exact"/>
        <w:ind w:firstLine="424" w:firstLineChars="202"/>
        <w:textAlignment w:val="auto"/>
        <w:rPr>
          <w:rFonts w:ascii="宋体" w:eastAsia="宋体" w:hAnsi="宋体" w:cs="宋体" w:hint="eastAsia"/>
          <w:sz w:val="21"/>
          <w:szCs w:val="21"/>
        </w:rPr>
      </w:pPr>
      <w:r>
        <w:rPr>
          <w:rFonts w:ascii="宋体" w:eastAsia="宋体" w:hAnsi="宋体" w:cs="宋体" w:hint="eastAsia"/>
          <w:sz w:val="21"/>
          <w:szCs w:val="21"/>
        </w:rPr>
        <w:t>联系方式：0755-83026699</w:t>
      </w:r>
    </w:p>
    <w:p>
      <w:pPr>
        <w:pStyle w:val="NormalWeb"/>
        <w:keepNext w:val="0"/>
        <w:keepLines w:val="0"/>
        <w:pageBreakBefore w:val="0"/>
        <w:widowControl/>
        <w:kinsoku/>
        <w:wordWrap/>
        <w:overflowPunct/>
        <w:topLinePunct w:val="0"/>
        <w:autoSpaceDE/>
        <w:autoSpaceDN/>
        <w:bidi w:val="0"/>
        <w:spacing w:before="0" w:beforeAutospacing="0" w:after="0" w:afterAutospacing="0" w:line="360" w:lineRule="exact"/>
        <w:ind w:firstLine="424" w:firstLineChars="202"/>
        <w:textAlignment w:val="auto"/>
        <w:rPr>
          <w:rFonts w:ascii="宋体" w:eastAsia="宋体" w:hAnsi="宋体" w:cs="宋体" w:hint="eastAsia"/>
          <w:sz w:val="21"/>
          <w:szCs w:val="21"/>
        </w:rPr>
      </w:pPr>
      <w:r>
        <w:rPr>
          <w:rFonts w:ascii="宋体" w:eastAsia="宋体" w:hAnsi="宋体" w:cs="宋体" w:hint="eastAsia"/>
          <w:sz w:val="21"/>
          <w:szCs w:val="21"/>
        </w:rPr>
        <w:t>3</w:t>
      </w:r>
      <w:r>
        <w:rPr>
          <w:rFonts w:ascii="宋体" w:eastAsia="宋体" w:hAnsi="宋体" w:cs="宋体" w:hint="eastAsia"/>
          <w:sz w:val="21"/>
          <w:szCs w:val="21"/>
          <w:lang w:val="en-US" w:eastAsia="zh-CN"/>
        </w:rPr>
        <w:t>.</w:t>
      </w:r>
      <w:r>
        <w:rPr>
          <w:rFonts w:ascii="宋体" w:eastAsia="宋体" w:hAnsi="宋体" w:cs="宋体" w:hint="eastAsia"/>
          <w:sz w:val="21"/>
          <w:szCs w:val="21"/>
        </w:rPr>
        <w:t xml:space="preserve">项目联系方式 </w:t>
      </w:r>
    </w:p>
    <w:p>
      <w:pPr>
        <w:pStyle w:val="NormalWeb"/>
        <w:keepNext w:val="0"/>
        <w:keepLines w:val="0"/>
        <w:pageBreakBefore w:val="0"/>
        <w:widowControl/>
        <w:kinsoku/>
        <w:wordWrap/>
        <w:overflowPunct/>
        <w:topLinePunct w:val="0"/>
        <w:autoSpaceDE/>
        <w:autoSpaceDN/>
        <w:bidi w:val="0"/>
        <w:spacing w:before="0" w:beforeAutospacing="0" w:after="0" w:afterAutospacing="0" w:line="360" w:lineRule="exact"/>
        <w:ind w:firstLine="424" w:firstLineChars="202"/>
        <w:textAlignment w:val="auto"/>
        <w:rPr>
          <w:rFonts w:ascii="宋体" w:eastAsia="宋体" w:hAnsi="宋体" w:cs="宋体" w:hint="eastAsia"/>
          <w:sz w:val="21"/>
          <w:szCs w:val="21"/>
          <w:lang w:val="en-US" w:eastAsia="zh-CN"/>
        </w:rPr>
      </w:pPr>
      <w:r>
        <w:rPr>
          <w:rFonts w:ascii="宋体" w:eastAsia="宋体" w:hAnsi="宋体" w:cs="宋体" w:hint="eastAsia"/>
          <w:sz w:val="21"/>
          <w:szCs w:val="21"/>
        </w:rPr>
        <w:t>项目联系人：</w:t>
      </w:r>
      <w:r>
        <w:rPr>
          <w:rFonts w:cs="宋体" w:hint="eastAsia"/>
          <w:sz w:val="21"/>
          <w:szCs w:val="21"/>
          <w:lang w:val="en-US" w:eastAsia="zh-CN"/>
        </w:rPr>
        <w:t>党工</w:t>
      </w:r>
    </w:p>
    <w:p>
      <w:pPr>
        <w:pStyle w:val="NormalWeb"/>
        <w:keepNext w:val="0"/>
        <w:keepLines w:val="0"/>
        <w:pageBreakBefore w:val="0"/>
        <w:widowControl/>
        <w:kinsoku/>
        <w:wordWrap/>
        <w:overflowPunct/>
        <w:topLinePunct w:val="0"/>
        <w:autoSpaceDE/>
        <w:autoSpaceDN/>
        <w:bidi w:val="0"/>
        <w:spacing w:before="0" w:beforeAutospacing="0" w:after="0" w:afterAutospacing="0" w:line="360" w:lineRule="exact"/>
        <w:ind w:firstLine="424" w:firstLineChars="202"/>
        <w:textAlignment w:val="auto"/>
        <w:rPr>
          <w:rFonts w:ascii="宋体" w:eastAsia="宋体" w:hAnsi="宋体" w:cs="宋体" w:hint="eastAsia"/>
          <w:sz w:val="21"/>
          <w:szCs w:val="21"/>
        </w:rPr>
      </w:pPr>
      <w:r>
        <w:rPr>
          <w:rFonts w:ascii="宋体" w:eastAsia="宋体" w:hAnsi="宋体" w:cs="宋体" w:hint="eastAsia"/>
          <w:sz w:val="21"/>
          <w:szCs w:val="21"/>
        </w:rPr>
        <w:t>电话：0755-83026699</w:t>
      </w:r>
    </w:p>
    <w:p>
      <w:pPr>
        <w:pStyle w:val="NormalWeb"/>
        <w:keepNext w:val="0"/>
        <w:keepLines w:val="0"/>
        <w:pageBreakBefore w:val="0"/>
        <w:widowControl/>
        <w:kinsoku/>
        <w:wordWrap/>
        <w:overflowPunct/>
        <w:topLinePunct w:val="0"/>
        <w:autoSpaceDE/>
        <w:autoSpaceDN/>
        <w:bidi w:val="0"/>
        <w:spacing w:before="0" w:beforeAutospacing="0" w:after="0" w:afterAutospacing="0" w:line="360" w:lineRule="exact"/>
        <w:ind w:firstLine="424" w:firstLineChars="202"/>
        <w:textAlignment w:val="auto"/>
        <w:rPr>
          <w:rFonts w:ascii="宋体" w:eastAsia="宋体" w:hAnsi="宋体" w:cs="宋体" w:hint="eastAsia"/>
          <w:sz w:val="21"/>
          <w:szCs w:val="21"/>
        </w:rPr>
      </w:pPr>
    </w:p>
    <w:p>
      <w:pPr>
        <w:pStyle w:val="NormalWeb"/>
        <w:keepNext w:val="0"/>
        <w:keepLines w:val="0"/>
        <w:pageBreakBefore w:val="0"/>
        <w:widowControl/>
        <w:kinsoku/>
        <w:wordWrap/>
        <w:overflowPunct/>
        <w:topLinePunct w:val="0"/>
        <w:autoSpaceDE/>
        <w:autoSpaceDN/>
        <w:bidi w:val="0"/>
        <w:spacing w:before="0" w:beforeAutospacing="0" w:after="0" w:afterAutospacing="0" w:line="360" w:lineRule="exact"/>
        <w:ind w:left="0" w:firstLine="368" w:leftChars="0" w:firstLineChars="175"/>
        <w:textAlignment w:val="auto"/>
        <w:rPr>
          <w:rFonts w:ascii="宋体" w:eastAsia="宋体" w:hAnsi="宋体" w:cs="宋体" w:hint="eastAsia"/>
          <w:sz w:val="24"/>
          <w:szCs w:val="24"/>
        </w:rPr>
      </w:pPr>
      <w:r>
        <w:rPr>
          <w:rFonts w:ascii="宋体" w:eastAsia="宋体" w:hAnsi="宋体" w:cs="宋体" w:hint="eastAsia"/>
          <w:b/>
          <w:sz w:val="24"/>
          <w:szCs w:val="24"/>
        </w:rPr>
        <w:t>完整公告内容详见：深圳公共资源交易网（https://www.szggzy.com）</w:t>
      </w:r>
    </w:p>
    <w:p>
      <w:pPr>
        <w:spacing w:line="400" w:lineRule="exact"/>
        <w:jc w:val="right"/>
        <w:rPr>
          <w:rFonts w:ascii="宋体" w:hAnsi="宋体"/>
          <w:szCs w:val="21"/>
        </w:rPr>
      </w:pPr>
    </w:p>
    <w:p>
      <w:pPr>
        <w:rPr>
          <w:rFonts w:ascii="宋体" w:hAnsi="宋体" w:hint="eastAsia"/>
          <w:b/>
          <w:bCs/>
          <w:kern w:val="0"/>
          <w:sz w:val="24"/>
          <w:szCs w:val="20"/>
        </w:rPr>
      </w:pPr>
      <w:r>
        <w:rPr>
          <w:rFonts w:ascii="宋体" w:hAnsi="宋体" w:hint="eastAsia"/>
          <w:b/>
          <w:bCs/>
          <w:kern w:val="0"/>
          <w:sz w:val="24"/>
          <w:szCs w:val="20"/>
        </w:rPr>
        <w:br w:type="page"/>
      </w:r>
    </w:p>
    <w:p>
      <w:pPr>
        <w:keepNext/>
        <w:keepLines/>
        <w:adjustRightInd w:val="0"/>
        <w:spacing w:before="260" w:after="260"/>
        <w:jc w:val="center"/>
        <w:textAlignment w:val="baseline"/>
        <w:outlineLvl w:val="1"/>
        <w:rPr>
          <w:rFonts w:ascii="宋体" w:hAnsi="宋体"/>
          <w:b/>
          <w:bCs/>
          <w:kern w:val="0"/>
          <w:sz w:val="24"/>
          <w:szCs w:val="20"/>
        </w:rPr>
      </w:pPr>
      <w:r>
        <w:rPr>
          <w:rFonts w:ascii="宋体" w:hAnsi="宋体" w:hint="eastAsia"/>
          <w:b/>
          <w:bCs/>
          <w:kern w:val="0"/>
          <w:sz w:val="24"/>
          <w:szCs w:val="20"/>
        </w:rPr>
        <w:t>第二章  招标项目需求</w:t>
      </w:r>
    </w:p>
    <w:p>
      <w:pPr>
        <w:keepNext/>
        <w:keepLines/>
        <w:adjustRightInd w:val="0"/>
        <w:spacing w:before="156" w:beforeLines="50" w:after="156" w:afterLines="50"/>
        <w:jc w:val="center"/>
        <w:textAlignment w:val="baseline"/>
        <w:outlineLvl w:val="1"/>
        <w:rPr>
          <w:rFonts w:ascii="宋体" w:hAnsi="宋体"/>
          <w:b/>
          <w:bCs/>
          <w:kern w:val="0"/>
          <w:sz w:val="28"/>
          <w:szCs w:val="28"/>
        </w:rPr>
      </w:pPr>
      <w:bookmarkStart w:id="0" w:name="_Toc101074876"/>
      <w:bookmarkStart w:id="1" w:name="_Toc73517639"/>
      <w:bookmarkStart w:id="2" w:name="_Toc100052364"/>
      <w:bookmarkStart w:id="3" w:name="_Toc60631620"/>
      <w:bookmarkStart w:id="4" w:name="_Toc73521547"/>
      <w:bookmarkStart w:id="5" w:name="_Toc73518117"/>
      <w:bookmarkStart w:id="6" w:name="_Toc73521635"/>
      <w:bookmarkStart w:id="7" w:name="_Toc60560625"/>
      <w:r>
        <w:rPr>
          <w:rFonts w:ascii="宋体" w:hAnsi="宋体" w:hint="eastAsia"/>
          <w:b/>
          <w:bCs/>
          <w:kern w:val="0"/>
          <w:sz w:val="28"/>
          <w:szCs w:val="28"/>
        </w:rPr>
        <w:t>一、对通用条款的补充内容</w:t>
      </w:r>
    </w:p>
    <w:tbl>
      <w:tblPr>
        <w:tblStyle w:val="TableNormal"/>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807"/>
        <w:gridCol w:w="2160"/>
        <w:gridCol w:w="5400"/>
      </w:tblGrid>
      <w:tr>
        <w:tblPrEx>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807" w:type="dxa"/>
            <w:noWrap w:val="0"/>
            <w:vAlign w:val="center"/>
          </w:tcPr>
          <w:p>
            <w:pPr>
              <w:jc w:val="center"/>
              <w:rPr>
                <w:rFonts w:ascii="宋体" w:hAnsi="宋体"/>
                <w:b/>
                <w:bCs/>
                <w:szCs w:val="24"/>
              </w:rPr>
            </w:pPr>
            <w:bookmarkEnd w:id="0"/>
            <w:bookmarkEnd w:id="1"/>
            <w:bookmarkEnd w:id="2"/>
            <w:bookmarkEnd w:id="3"/>
            <w:bookmarkEnd w:id="4"/>
            <w:bookmarkEnd w:id="5"/>
            <w:bookmarkEnd w:id="6"/>
            <w:bookmarkEnd w:id="7"/>
            <w:r>
              <w:rPr>
                <w:rFonts w:ascii="宋体" w:hAnsi="宋体" w:hint="eastAsia"/>
                <w:b/>
                <w:bCs/>
                <w:szCs w:val="24"/>
              </w:rPr>
              <w:t>序号</w:t>
            </w:r>
          </w:p>
        </w:tc>
        <w:tc>
          <w:tcPr>
            <w:tcW w:w="2160" w:type="dxa"/>
            <w:noWrap w:val="0"/>
            <w:vAlign w:val="center"/>
          </w:tcPr>
          <w:p>
            <w:pPr>
              <w:jc w:val="center"/>
              <w:rPr>
                <w:rFonts w:ascii="宋体" w:hAnsi="宋体"/>
                <w:b/>
                <w:bCs/>
                <w:szCs w:val="24"/>
              </w:rPr>
            </w:pPr>
            <w:r>
              <w:rPr>
                <w:rFonts w:ascii="宋体" w:hAnsi="宋体" w:hint="eastAsia"/>
                <w:b/>
                <w:bCs/>
                <w:szCs w:val="24"/>
              </w:rPr>
              <w:t>内   容</w:t>
            </w:r>
          </w:p>
        </w:tc>
        <w:tc>
          <w:tcPr>
            <w:tcW w:w="5400" w:type="dxa"/>
            <w:noWrap w:val="0"/>
            <w:vAlign w:val="center"/>
          </w:tcPr>
          <w:p>
            <w:pPr>
              <w:jc w:val="center"/>
              <w:rPr>
                <w:rFonts w:ascii="宋体" w:hAnsi="宋体"/>
                <w:b/>
                <w:bCs/>
                <w:szCs w:val="24"/>
              </w:rPr>
            </w:pPr>
            <w:r>
              <w:rPr>
                <w:rFonts w:ascii="宋体" w:hAnsi="宋体" w:hint="eastAsia"/>
                <w:b/>
                <w:bCs/>
                <w:szCs w:val="24"/>
              </w:rPr>
              <w:t>规      定</w:t>
            </w:r>
          </w:p>
        </w:tc>
      </w:tr>
      <w:tr>
        <w:tblPrEx>
          <w:tblW w:w="0" w:type="auto"/>
          <w:jc w:val="center"/>
          <w:tblLayout w:type="fixed"/>
          <w:tblCellMar>
            <w:top w:w="0" w:type="dxa"/>
            <w:left w:w="108" w:type="dxa"/>
            <w:bottom w:w="0" w:type="dxa"/>
            <w:right w:w="108" w:type="dxa"/>
          </w:tblCellMar>
        </w:tblPrEx>
        <w:trPr>
          <w:cantSplit/>
          <w:trHeight w:val="365"/>
          <w:jc w:val="center"/>
        </w:trPr>
        <w:tc>
          <w:tcPr>
            <w:tcW w:w="807" w:type="dxa"/>
            <w:noWrap w:val="0"/>
            <w:vAlign w:val="center"/>
          </w:tcPr>
          <w:p>
            <w:pPr>
              <w:jc w:val="center"/>
              <w:rPr>
                <w:rFonts w:ascii="宋体" w:hAnsi="宋体"/>
                <w:szCs w:val="24"/>
              </w:rPr>
            </w:pPr>
            <w:r>
              <w:rPr>
                <w:rFonts w:ascii="宋体" w:hAnsi="宋体" w:hint="eastAsia"/>
                <w:szCs w:val="24"/>
              </w:rPr>
              <w:t>1</w:t>
            </w:r>
          </w:p>
        </w:tc>
        <w:tc>
          <w:tcPr>
            <w:tcW w:w="2160" w:type="dxa"/>
            <w:noWrap w:val="0"/>
            <w:vAlign w:val="center"/>
          </w:tcPr>
          <w:p>
            <w:pPr>
              <w:jc w:val="center"/>
              <w:rPr>
                <w:rFonts w:ascii="Times New Roman" w:hAnsi="Times New Roman"/>
                <w:szCs w:val="24"/>
              </w:rPr>
            </w:pPr>
            <w:r>
              <w:rPr>
                <w:rFonts w:ascii="Times New Roman" w:hAnsi="Times New Roman" w:hint="eastAsia"/>
                <w:szCs w:val="24"/>
              </w:rPr>
              <w:t>联合体投标</w:t>
            </w:r>
          </w:p>
        </w:tc>
        <w:tc>
          <w:tcPr>
            <w:tcW w:w="5400" w:type="dxa"/>
            <w:noWrap w:val="0"/>
            <w:vAlign w:val="center"/>
          </w:tcPr>
          <w:p>
            <w:pPr>
              <w:rPr>
                <w:rFonts w:ascii="宋体" w:hAnsi="宋体"/>
                <w:snapToGrid w:val="0"/>
                <w:kern w:val="0"/>
                <w:szCs w:val="32"/>
                <w:lang w:val="zh-CN"/>
              </w:rPr>
            </w:pPr>
            <w:r>
              <w:rPr>
                <w:rFonts w:ascii="宋体" w:hAnsi="宋体" w:hint="eastAsia"/>
                <w:snapToGrid w:val="0"/>
                <w:kern w:val="0"/>
                <w:szCs w:val="32"/>
                <w:lang w:val="zh-CN"/>
              </w:rPr>
              <w:t>见《招标公告》中“项目基本情况”部分的相关内容</w:t>
            </w:r>
          </w:p>
        </w:tc>
      </w:tr>
      <w:tr>
        <w:tblPrEx>
          <w:tblW w:w="0" w:type="auto"/>
          <w:jc w:val="center"/>
          <w:tblLayout w:type="fixed"/>
          <w:tblCellMar>
            <w:top w:w="0" w:type="dxa"/>
            <w:left w:w="108" w:type="dxa"/>
            <w:bottom w:w="0" w:type="dxa"/>
            <w:right w:w="108" w:type="dxa"/>
          </w:tblCellMar>
        </w:tblPrEx>
        <w:trPr>
          <w:cantSplit/>
          <w:trHeight w:val="365"/>
          <w:jc w:val="center"/>
        </w:trPr>
        <w:tc>
          <w:tcPr>
            <w:tcW w:w="807" w:type="dxa"/>
            <w:noWrap w:val="0"/>
            <w:vAlign w:val="center"/>
          </w:tcPr>
          <w:p>
            <w:pPr>
              <w:jc w:val="center"/>
              <w:rPr>
                <w:rFonts w:ascii="宋体" w:hAnsi="宋体"/>
                <w:szCs w:val="24"/>
              </w:rPr>
            </w:pPr>
            <w:r>
              <w:rPr>
                <w:rFonts w:ascii="宋体" w:hAnsi="宋体" w:hint="eastAsia"/>
                <w:szCs w:val="24"/>
              </w:rPr>
              <w:t>2</w:t>
            </w:r>
          </w:p>
        </w:tc>
        <w:tc>
          <w:tcPr>
            <w:tcW w:w="2160" w:type="dxa"/>
            <w:noWrap w:val="0"/>
            <w:vAlign w:val="center"/>
          </w:tcPr>
          <w:p>
            <w:pPr>
              <w:jc w:val="center"/>
              <w:rPr>
                <w:rFonts w:ascii="宋体" w:hAnsi="宋体"/>
                <w:szCs w:val="24"/>
              </w:rPr>
            </w:pPr>
            <w:r>
              <w:rPr>
                <w:rFonts w:ascii="宋体" w:hAnsi="宋体" w:hint="eastAsia"/>
                <w:szCs w:val="24"/>
              </w:rPr>
              <w:t>投标有效期</w:t>
            </w:r>
          </w:p>
        </w:tc>
        <w:tc>
          <w:tcPr>
            <w:tcW w:w="5400" w:type="dxa"/>
            <w:noWrap w:val="0"/>
            <w:vAlign w:val="center"/>
          </w:tcPr>
          <w:p>
            <w:pPr>
              <w:rPr>
                <w:rFonts w:ascii="宋体" w:hAnsi="宋体"/>
                <w:szCs w:val="24"/>
              </w:rPr>
            </w:pPr>
            <w:r>
              <w:rPr>
                <w:rFonts w:ascii="宋体" w:hAnsi="宋体" w:hint="eastAsia"/>
                <w:szCs w:val="24"/>
                <w:u w:val="single"/>
              </w:rPr>
              <w:t>90</w:t>
            </w:r>
            <w:r>
              <w:rPr>
                <w:rFonts w:ascii="宋体" w:hAnsi="宋体"/>
                <w:szCs w:val="24"/>
                <w:u w:val="single"/>
              </w:rPr>
              <w:t>日历天</w:t>
            </w:r>
            <w:r>
              <w:rPr>
                <w:rFonts w:ascii="宋体" w:hAnsi="宋体"/>
                <w:szCs w:val="24"/>
              </w:rPr>
              <w:t>（从投标截止之日算起）</w:t>
            </w:r>
          </w:p>
        </w:tc>
      </w:tr>
      <w:tr>
        <w:tblPrEx>
          <w:tblW w:w="0" w:type="auto"/>
          <w:jc w:val="center"/>
          <w:tblLayout w:type="fixed"/>
          <w:tblCellMar>
            <w:top w:w="0" w:type="dxa"/>
            <w:left w:w="108" w:type="dxa"/>
            <w:bottom w:w="0" w:type="dxa"/>
            <w:right w:w="108" w:type="dxa"/>
          </w:tblCellMar>
        </w:tblPrEx>
        <w:trPr>
          <w:cantSplit/>
          <w:trHeight w:val="365"/>
          <w:jc w:val="center"/>
        </w:trPr>
        <w:tc>
          <w:tcPr>
            <w:tcW w:w="807" w:type="dxa"/>
            <w:noWrap w:val="0"/>
            <w:vAlign w:val="center"/>
          </w:tcPr>
          <w:p>
            <w:pPr>
              <w:jc w:val="center"/>
              <w:rPr>
                <w:rFonts w:ascii="宋体" w:hAnsi="宋体"/>
                <w:szCs w:val="24"/>
              </w:rPr>
            </w:pPr>
            <w:r>
              <w:rPr>
                <w:rFonts w:ascii="宋体" w:hAnsi="宋体" w:hint="eastAsia"/>
                <w:szCs w:val="24"/>
              </w:rPr>
              <w:t>3</w:t>
            </w:r>
          </w:p>
        </w:tc>
        <w:tc>
          <w:tcPr>
            <w:tcW w:w="2160" w:type="dxa"/>
            <w:noWrap w:val="0"/>
            <w:vAlign w:val="center"/>
          </w:tcPr>
          <w:p>
            <w:pPr>
              <w:jc w:val="center"/>
              <w:rPr>
                <w:rFonts w:ascii="宋体" w:hAnsi="宋体"/>
                <w:szCs w:val="24"/>
              </w:rPr>
            </w:pPr>
            <w:r>
              <w:rPr>
                <w:rFonts w:ascii="宋体" w:hAnsi="宋体" w:hint="eastAsia"/>
                <w:szCs w:val="24"/>
              </w:rPr>
              <w:t>投标人的替代方案</w:t>
            </w:r>
          </w:p>
        </w:tc>
        <w:tc>
          <w:tcPr>
            <w:tcW w:w="5400" w:type="dxa"/>
            <w:noWrap w:val="0"/>
            <w:vAlign w:val="center"/>
          </w:tcPr>
          <w:p>
            <w:pPr>
              <w:rPr>
                <w:rFonts w:ascii="宋体" w:hAnsi="宋体"/>
                <w:szCs w:val="24"/>
              </w:rPr>
            </w:pPr>
            <w:r>
              <w:rPr>
                <w:rFonts w:ascii="宋体" w:hAnsi="宋体" w:hint="eastAsia"/>
                <w:szCs w:val="24"/>
              </w:rPr>
              <w:t>不允许</w:t>
            </w:r>
          </w:p>
        </w:tc>
      </w:tr>
      <w:tr>
        <w:tblPrEx>
          <w:tblW w:w="0" w:type="auto"/>
          <w:jc w:val="center"/>
          <w:tblLayout w:type="fixed"/>
          <w:tblCellMar>
            <w:top w:w="0" w:type="dxa"/>
            <w:left w:w="108" w:type="dxa"/>
            <w:bottom w:w="0" w:type="dxa"/>
            <w:right w:w="108" w:type="dxa"/>
          </w:tblCellMar>
        </w:tblPrEx>
        <w:trPr>
          <w:cantSplit/>
          <w:trHeight w:val="20"/>
          <w:jc w:val="center"/>
        </w:trPr>
        <w:tc>
          <w:tcPr>
            <w:tcW w:w="807" w:type="dxa"/>
            <w:noWrap w:val="0"/>
            <w:vAlign w:val="center"/>
          </w:tcPr>
          <w:p>
            <w:pPr>
              <w:jc w:val="center"/>
              <w:rPr>
                <w:rFonts w:ascii="宋体" w:eastAsia="宋体" w:hAnsi="宋体" w:hint="eastAsia"/>
                <w:szCs w:val="24"/>
                <w:lang w:eastAsia="zh-CN"/>
              </w:rPr>
            </w:pPr>
            <w:r>
              <w:rPr>
                <w:rFonts w:ascii="宋体" w:hAnsi="宋体" w:hint="eastAsia"/>
                <w:szCs w:val="24"/>
                <w:lang w:val="en-US" w:eastAsia="zh-CN"/>
              </w:rPr>
              <w:t>4</w:t>
            </w:r>
          </w:p>
        </w:tc>
        <w:tc>
          <w:tcPr>
            <w:tcW w:w="2160" w:type="dxa"/>
            <w:noWrap w:val="0"/>
            <w:vAlign w:val="center"/>
          </w:tcPr>
          <w:p>
            <w:pPr>
              <w:jc w:val="center"/>
              <w:rPr>
                <w:rFonts w:ascii="宋体" w:eastAsia="宋体" w:hAnsi="宋体" w:hint="eastAsia"/>
                <w:szCs w:val="24"/>
                <w:lang w:eastAsia="zh-CN"/>
              </w:rPr>
            </w:pPr>
            <w:r>
              <w:rPr>
                <w:rFonts w:ascii="宋体" w:hAnsi="宋体" w:hint="eastAsia"/>
                <w:szCs w:val="24"/>
                <w:lang w:eastAsia="zh-CN"/>
              </w:rPr>
              <w:t>代理服务费</w:t>
            </w:r>
          </w:p>
        </w:tc>
        <w:tc>
          <w:tcPr>
            <w:tcW w:w="5400" w:type="dxa"/>
            <w:noWrap w:val="0"/>
            <w:vAlign w:val="center"/>
          </w:tcPr>
          <w:p>
            <w:pPr>
              <w:spacing w:line="360" w:lineRule="exact"/>
              <w:rPr>
                <w:rFonts w:ascii="宋体" w:eastAsia="宋体" w:hAnsi="宋体"/>
                <w:szCs w:val="21"/>
              </w:rPr>
            </w:pPr>
            <w:r>
              <w:rPr>
                <w:rFonts w:ascii="宋体" w:eastAsia="宋体" w:hAnsi="宋体" w:hint="eastAsia"/>
                <w:szCs w:val="21"/>
              </w:rPr>
              <w:t>按深财购[2018]27号文件规定的代理费用参考标准，向中标供应商收取</w:t>
            </w:r>
            <w:r>
              <w:rPr>
                <w:rFonts w:ascii="宋体" w:eastAsia="宋体" w:hAnsi="宋体" w:hint="eastAsia"/>
                <w:szCs w:val="21"/>
                <w:lang w:eastAsia="zh-CN"/>
              </w:rPr>
              <w:t>代理服务费</w:t>
            </w:r>
            <w:r>
              <w:rPr>
                <w:rFonts w:ascii="宋体" w:eastAsia="宋体" w:hAnsi="宋体" w:hint="eastAsia"/>
                <w:szCs w:val="21"/>
              </w:rPr>
              <w:t>，具体如下：</w:t>
            </w:r>
          </w:p>
          <w:p>
            <w:pPr>
              <w:spacing w:line="360" w:lineRule="exact"/>
              <w:rPr>
                <w:rFonts w:ascii="宋体" w:eastAsia="宋体" w:hAnsi="宋体"/>
                <w:szCs w:val="20"/>
              </w:rPr>
            </w:pPr>
            <w:r>
              <w:rPr>
                <w:rFonts w:ascii="宋体" w:eastAsia="MS Mincho" w:hAnsi="宋体" w:cs="MS Mincho" w:hint="eastAsia"/>
                <w:sz w:val="24"/>
                <w:szCs w:val="24"/>
              </w:rPr>
              <w:t>☑</w:t>
            </w:r>
            <w:r>
              <w:rPr>
                <w:rFonts w:ascii="宋体" w:eastAsia="宋体" w:hAnsi="宋体" w:hint="eastAsia"/>
                <w:szCs w:val="21"/>
              </w:rPr>
              <w:t>以中标金额作为计算依据</w:t>
            </w:r>
            <w:r>
              <w:rPr>
                <w:rFonts w:ascii="宋体" w:eastAsia="宋体" w:hAnsi="宋体" w:hint="eastAsia"/>
                <w:szCs w:val="20"/>
              </w:rPr>
              <w:t>，费用下浮</w:t>
            </w:r>
            <w:r>
              <w:rPr>
                <w:rFonts w:ascii="宋体" w:eastAsia="宋体" w:hAnsi="宋体" w:hint="eastAsia"/>
                <w:szCs w:val="20"/>
                <w:u w:val="single"/>
              </w:rPr>
              <w:t xml:space="preserve">  0  </w:t>
            </w:r>
            <w:r>
              <w:rPr>
                <w:rFonts w:ascii="宋体" w:eastAsia="宋体" w:hAnsi="宋体" w:hint="eastAsia"/>
                <w:szCs w:val="20"/>
              </w:rPr>
              <w:t>%。</w:t>
            </w:r>
          </w:p>
          <w:p>
            <w:pPr>
              <w:spacing w:line="360" w:lineRule="exact"/>
              <w:rPr>
                <w:rFonts w:ascii="宋体" w:hAnsi="宋体"/>
              </w:rPr>
            </w:pPr>
            <w:r>
              <w:rPr>
                <w:rFonts w:ascii="Times New Roman" w:hAnsi="宋体" w:hint="eastAsia"/>
                <w:szCs w:val="24"/>
              </w:rPr>
              <w:t>□</w:t>
            </w:r>
            <w:r>
              <w:rPr>
                <w:rFonts w:ascii="宋体" w:eastAsia="宋体" w:hAnsi="宋体" w:hint="eastAsia"/>
                <w:szCs w:val="21"/>
              </w:rPr>
              <w:t>以预算金额（支付上限）作为计算依据</w:t>
            </w:r>
            <w:r>
              <w:rPr>
                <w:rFonts w:ascii="宋体" w:eastAsia="宋体" w:hAnsi="宋体" w:hint="eastAsia"/>
                <w:szCs w:val="24"/>
              </w:rPr>
              <w:t>，费用下浮</w:t>
            </w:r>
            <w:r>
              <w:rPr>
                <w:rFonts w:ascii="宋体" w:eastAsia="宋体" w:hAnsi="宋体" w:hint="eastAsia"/>
                <w:szCs w:val="24"/>
                <w:u w:val="single"/>
              </w:rPr>
              <w:t xml:space="preserve">  0  </w:t>
            </w:r>
            <w:r>
              <w:rPr>
                <w:rFonts w:ascii="宋体" w:eastAsia="宋体" w:hAnsi="宋体" w:hint="eastAsia"/>
                <w:szCs w:val="24"/>
              </w:rPr>
              <w:t>%，收取</w:t>
            </w:r>
            <w:r>
              <w:rPr>
                <w:rFonts w:ascii="宋体" w:eastAsia="宋体" w:hAnsi="宋体" w:hint="eastAsia"/>
                <w:szCs w:val="24"/>
                <w:lang w:eastAsia="zh-CN"/>
              </w:rPr>
              <w:t>代理服务费</w:t>
            </w:r>
            <w:r>
              <w:rPr>
                <w:rFonts w:ascii="宋体" w:eastAsia="宋体" w:hAnsi="宋体" w:hint="eastAsia"/>
                <w:szCs w:val="24"/>
              </w:rPr>
              <w:t>：人民币</w:t>
            </w:r>
            <w:r>
              <w:rPr>
                <w:rFonts w:ascii="宋体" w:eastAsia="宋体" w:hAnsi="宋体" w:hint="eastAsia"/>
                <w:szCs w:val="24"/>
                <w:u w:val="single"/>
              </w:rPr>
              <w:t xml:space="preserve">       </w:t>
            </w:r>
            <w:r>
              <w:rPr>
                <w:rFonts w:ascii="宋体" w:eastAsia="宋体" w:hAnsi="宋体" w:hint="eastAsia"/>
                <w:szCs w:val="24"/>
              </w:rPr>
              <w:t>元。</w:t>
            </w:r>
          </w:p>
        </w:tc>
      </w:tr>
      <w:tr>
        <w:tblPrEx>
          <w:tblW w:w="0" w:type="auto"/>
          <w:jc w:val="center"/>
          <w:tblLayout w:type="fixed"/>
          <w:tblCellMar>
            <w:top w:w="0" w:type="dxa"/>
            <w:left w:w="108" w:type="dxa"/>
            <w:bottom w:w="0" w:type="dxa"/>
            <w:right w:w="108" w:type="dxa"/>
          </w:tblCellMar>
        </w:tblPrEx>
        <w:trPr>
          <w:cantSplit/>
          <w:trHeight w:val="20"/>
          <w:jc w:val="center"/>
        </w:trPr>
        <w:tc>
          <w:tcPr>
            <w:tcW w:w="807" w:type="dxa"/>
            <w:noWrap w:val="0"/>
            <w:vAlign w:val="center"/>
          </w:tcPr>
          <w:p>
            <w:pPr>
              <w:jc w:val="center"/>
              <w:rPr>
                <w:rFonts w:ascii="宋体" w:eastAsia="宋体" w:hAnsi="宋体" w:hint="eastAsia"/>
                <w:szCs w:val="24"/>
                <w:lang w:eastAsia="zh-CN"/>
              </w:rPr>
            </w:pPr>
            <w:r>
              <w:rPr>
                <w:rFonts w:ascii="宋体" w:hAnsi="宋体" w:hint="eastAsia"/>
                <w:szCs w:val="24"/>
                <w:lang w:val="en-US" w:eastAsia="zh-CN"/>
              </w:rPr>
              <w:t>5</w:t>
            </w:r>
          </w:p>
        </w:tc>
        <w:tc>
          <w:tcPr>
            <w:tcW w:w="2160" w:type="dxa"/>
            <w:noWrap w:val="0"/>
            <w:vAlign w:val="center"/>
          </w:tcPr>
          <w:p>
            <w:pPr>
              <w:jc w:val="center"/>
              <w:rPr>
                <w:rFonts w:ascii="宋体" w:hAnsi="宋体"/>
                <w:szCs w:val="24"/>
              </w:rPr>
            </w:pPr>
            <w:r>
              <w:rPr>
                <w:rFonts w:ascii="宋体" w:hAnsi="宋体" w:hint="eastAsia"/>
                <w:szCs w:val="24"/>
              </w:rPr>
              <w:t>履约保证金</w:t>
            </w:r>
          </w:p>
        </w:tc>
        <w:tc>
          <w:tcPr>
            <w:tcW w:w="5400" w:type="dxa"/>
            <w:noWrap w:val="0"/>
            <w:vAlign w:val="center"/>
          </w:tcPr>
          <w:p>
            <w:pPr>
              <w:spacing w:line="360" w:lineRule="exact"/>
              <w:rPr>
                <w:rFonts w:ascii="宋体" w:hAnsi="宋体"/>
                <w:szCs w:val="24"/>
              </w:rPr>
            </w:pPr>
            <w:r>
              <w:rPr>
                <w:rFonts w:ascii="宋体" w:eastAsia="MS Mincho" w:hAnsi="宋体" w:cs="MS Mincho" w:hint="eastAsia"/>
                <w:sz w:val="24"/>
                <w:szCs w:val="24"/>
              </w:rPr>
              <w:t>☑</w:t>
            </w:r>
            <w:r>
              <w:rPr>
                <w:rFonts w:ascii="宋体" w:hAnsi="宋体" w:hint="eastAsia"/>
                <w:szCs w:val="24"/>
              </w:rPr>
              <w:t>本项目不收取履约保证金。</w:t>
            </w:r>
          </w:p>
          <w:p>
            <w:pPr>
              <w:spacing w:line="360" w:lineRule="exact"/>
              <w:rPr>
                <w:rFonts w:ascii="宋体" w:hAnsi="宋体"/>
                <w:szCs w:val="24"/>
              </w:rPr>
            </w:pPr>
            <w:r>
              <w:rPr>
                <w:rFonts w:ascii="Times New Roman" w:hAnsi="宋体" w:hint="eastAsia"/>
                <w:szCs w:val="24"/>
              </w:rPr>
              <w:t>□</w:t>
            </w:r>
            <w:r>
              <w:rPr>
                <w:rFonts w:ascii="宋体" w:hAnsi="宋体" w:hint="eastAsia"/>
                <w:szCs w:val="24"/>
              </w:rPr>
              <w:t>本项目收取履约保证金数额为合同金额的</w:t>
            </w:r>
            <w:r>
              <w:rPr>
                <w:rFonts w:ascii="宋体" w:hAnsi="宋体" w:hint="eastAsia"/>
                <w:szCs w:val="24"/>
                <w:u w:val="single"/>
              </w:rPr>
              <w:t xml:space="preserve">  </w:t>
            </w:r>
            <w:r>
              <w:rPr>
                <w:rFonts w:ascii="宋体" w:hAnsi="宋体" w:hint="eastAsia"/>
                <w:szCs w:val="24"/>
              </w:rPr>
              <w:t>%（不超过10%）。</w:t>
            </w:r>
          </w:p>
          <w:p>
            <w:pPr>
              <w:spacing w:line="360" w:lineRule="exact"/>
              <w:rPr>
                <w:rFonts w:ascii="宋体" w:hAnsi="宋体"/>
                <w:szCs w:val="24"/>
              </w:rPr>
            </w:pPr>
            <w:r>
              <w:rPr>
                <w:rFonts w:ascii="宋体" w:hAnsi="宋体" w:hint="eastAsia"/>
                <w:szCs w:val="24"/>
              </w:rPr>
              <w:t>根据《深圳市财政局关于进一步优化政府采购营商环境的通知》（深财购〔2021〕31号），政府采购原则上不收取履约保证金；确需收取履约保证金的，应当允许供应商自主选择以支票、汇票、本票、保函等非现金形式缴纳或提交。收取履约保证金的，应当在采购文件中明确履约保证金退还的方式、时间、条件和不予退还的情形，并明确逾期退还履约保证金的违约责任。</w:t>
            </w:r>
          </w:p>
          <w:p>
            <w:pPr>
              <w:spacing w:line="360" w:lineRule="exact"/>
              <w:rPr>
                <w:rFonts w:ascii="宋体" w:hAnsi="宋体"/>
              </w:rPr>
            </w:pPr>
            <w:r>
              <w:rPr>
                <w:rFonts w:ascii="宋体" w:hAnsi="宋体" w:hint="eastAsia"/>
                <w:szCs w:val="24"/>
              </w:rPr>
              <w:t>如中标供应商为</w:t>
            </w:r>
            <w:r>
              <w:rPr>
                <w:rFonts w:ascii="宋体" w:hAnsi="Calibri" w:cs="宋体" w:hint="eastAsia"/>
                <w:kern w:val="0"/>
                <w:szCs w:val="21"/>
              </w:rPr>
              <w:t>中小微企业，则收取的履约保证金的数额不得超过政府采购合同金额的</w:t>
            </w:r>
            <w:r>
              <w:rPr>
                <w:rFonts w:ascii="宋体" w:hAnsi="Calibri" w:cs="宋体"/>
                <w:kern w:val="0"/>
                <w:szCs w:val="21"/>
              </w:rPr>
              <w:t>5%</w:t>
            </w:r>
            <w:r>
              <w:rPr>
                <w:rFonts w:ascii="宋体" w:hAnsi="Calibri" w:cs="宋体" w:hint="eastAsia"/>
                <w:kern w:val="0"/>
                <w:szCs w:val="21"/>
              </w:rPr>
              <w:t>。</w:t>
            </w:r>
          </w:p>
        </w:tc>
      </w:tr>
    </w:tbl>
    <w:p>
      <w:pPr>
        <w:rPr>
          <w:rFonts w:ascii="Times New Roman" w:hAnsi="Times New Roman"/>
          <w:b/>
          <w:szCs w:val="24"/>
        </w:rPr>
      </w:pPr>
      <w:r>
        <w:rPr>
          <w:rFonts w:ascii="Times New Roman" w:hAnsi="Times New Roman" w:hint="eastAsia"/>
          <w:szCs w:val="21"/>
        </w:rPr>
        <w:t xml:space="preserve">    备注：本表为通用条款相关内容的补充和明确，如与通用条款相冲突的以本表为准。</w:t>
      </w:r>
    </w:p>
    <w:p>
      <w:pPr>
        <w:rPr>
          <w:rFonts w:ascii="Times New Roman" w:hAnsi="Times New Roman"/>
          <w:b/>
          <w:szCs w:val="24"/>
        </w:rPr>
      </w:pPr>
    </w:p>
    <w:p>
      <w:pPr>
        <w:keepNext/>
        <w:keepLines/>
        <w:adjustRightInd w:val="0"/>
        <w:spacing w:before="156" w:beforeLines="50" w:after="156" w:afterLines="50"/>
        <w:jc w:val="center"/>
        <w:textAlignment w:val="baseline"/>
        <w:outlineLvl w:val="1"/>
        <w:rPr>
          <w:rFonts w:ascii="宋体" w:eastAsia="宋体" w:hAnsi="宋体" w:cs="Times New Roman" w:hint="eastAsia"/>
          <w:b/>
          <w:bCs/>
          <w:kern w:val="0"/>
          <w:sz w:val="28"/>
          <w:szCs w:val="28"/>
        </w:rPr>
      </w:pPr>
      <w:bookmarkStart w:id="8" w:name="_Toc128884461"/>
      <w:r>
        <w:rPr>
          <w:rFonts w:ascii="宋体" w:eastAsia="宋体" w:hAnsi="宋体" w:cs="Times New Roman" w:hint="eastAsia"/>
          <w:b/>
          <w:bCs/>
          <w:kern w:val="0"/>
          <w:sz w:val="28"/>
          <w:szCs w:val="28"/>
        </w:rPr>
        <w:t>二、实质性条款</w:t>
      </w:r>
    </w:p>
    <w:tbl>
      <w:tblPr>
        <w:tblStyle w:val="TableNormal"/>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5"/>
        <w:gridCol w:w="7658"/>
      </w:tblGrid>
      <w:tr>
        <w:tblPrEx>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705" w:type="dxa"/>
            <w:noWrap w:val="0"/>
            <w:vAlign w:val="center"/>
          </w:tcPr>
          <w:p>
            <w:pPr>
              <w:adjustRightInd w:val="0"/>
              <w:snapToGrid w:val="0"/>
              <w:spacing w:line="360" w:lineRule="auto"/>
              <w:jc w:val="center"/>
              <w:rPr>
                <w:rFonts w:ascii="宋体" w:hAnsi="宋体"/>
                <w:kern w:val="0"/>
                <w:szCs w:val="21"/>
              </w:rPr>
            </w:pPr>
            <w:r>
              <w:rPr>
                <w:rFonts w:ascii="宋体" w:hAnsi="宋体" w:hint="eastAsia"/>
                <w:kern w:val="0"/>
                <w:szCs w:val="21"/>
              </w:rPr>
              <w:t>序号</w:t>
            </w:r>
          </w:p>
        </w:tc>
        <w:tc>
          <w:tcPr>
            <w:tcW w:w="7658" w:type="dxa"/>
            <w:noWrap w:val="0"/>
            <w:vAlign w:val="center"/>
          </w:tcPr>
          <w:p>
            <w:pPr>
              <w:adjustRightInd w:val="0"/>
              <w:snapToGrid w:val="0"/>
              <w:spacing w:line="360" w:lineRule="auto"/>
              <w:jc w:val="center"/>
              <w:rPr>
                <w:rFonts w:ascii="宋体" w:hAnsi="宋体"/>
                <w:kern w:val="0"/>
                <w:szCs w:val="21"/>
              </w:rPr>
            </w:pPr>
            <w:r>
              <w:rPr>
                <w:rFonts w:ascii="宋体" w:hAnsi="宋体" w:hint="eastAsia"/>
                <w:kern w:val="0"/>
                <w:szCs w:val="21"/>
              </w:rPr>
              <w:t>具体内容</w:t>
            </w:r>
          </w:p>
        </w:tc>
      </w:tr>
      <w:tr>
        <w:tblPrEx>
          <w:tblW w:w="0" w:type="auto"/>
          <w:tblInd w:w="392" w:type="dxa"/>
          <w:tblLayout w:type="fixed"/>
          <w:tblCellMar>
            <w:top w:w="0" w:type="dxa"/>
            <w:left w:w="108" w:type="dxa"/>
            <w:bottom w:w="0" w:type="dxa"/>
            <w:right w:w="108" w:type="dxa"/>
          </w:tblCellMar>
        </w:tblPrEx>
        <w:tc>
          <w:tcPr>
            <w:tcW w:w="705" w:type="dxa"/>
            <w:noWrap w:val="0"/>
            <w:vAlign w:val="center"/>
          </w:tcPr>
          <w:p>
            <w:pPr>
              <w:adjustRightInd w:val="0"/>
              <w:snapToGrid w:val="0"/>
              <w:spacing w:line="360" w:lineRule="auto"/>
              <w:jc w:val="center"/>
              <w:rPr>
                <w:rFonts w:ascii="宋体" w:hAnsi="宋体"/>
                <w:kern w:val="0"/>
                <w:szCs w:val="21"/>
              </w:rPr>
            </w:pPr>
            <w:r>
              <w:rPr>
                <w:rFonts w:ascii="宋体" w:hAnsi="宋体" w:hint="eastAsia"/>
                <w:kern w:val="0"/>
                <w:szCs w:val="21"/>
              </w:rPr>
              <w:t>1</w:t>
            </w:r>
          </w:p>
        </w:tc>
        <w:tc>
          <w:tcPr>
            <w:tcW w:w="7658" w:type="dxa"/>
            <w:noWrap w:val="0"/>
            <w:vAlign w:val="center"/>
          </w:tcPr>
          <w:p>
            <w:pPr>
              <w:keepNext/>
              <w:keepLines/>
              <w:tabs>
                <w:tab w:val="left" w:pos="765"/>
              </w:tabs>
              <w:spacing w:line="376" w:lineRule="auto"/>
              <w:outlineLvl w:val="3"/>
              <w:rPr>
                <w:rFonts w:hAnsi="宋体"/>
                <w:kern w:val="0"/>
                <w:szCs w:val="21"/>
              </w:rPr>
            </w:pPr>
            <w:r>
              <w:rPr>
                <w:rFonts w:ascii="宋体" w:eastAsia="宋体" w:hAnsi="宋体" w:cs="宋体" w:hint="eastAsia"/>
                <w:kern w:val="0"/>
                <w:sz w:val="21"/>
                <w:szCs w:val="21"/>
              </w:rPr>
              <w:t>满足本项目</w:t>
            </w:r>
            <w:r>
              <w:rPr>
                <w:rFonts w:ascii="宋体" w:eastAsia="宋体" w:hAnsi="宋体" w:cs="宋体" w:hint="eastAsia"/>
                <w:kern w:val="0"/>
                <w:sz w:val="21"/>
                <w:szCs w:val="21"/>
                <w:lang w:eastAsia="zh-CN"/>
              </w:rPr>
              <w:t>所有</w:t>
            </w:r>
            <w:r>
              <w:rPr>
                <w:rFonts w:ascii="宋体" w:eastAsia="宋体" w:hAnsi="宋体" w:cs="宋体" w:hint="eastAsia"/>
                <w:kern w:val="0"/>
                <w:sz w:val="21"/>
                <w:szCs w:val="21"/>
              </w:rPr>
              <w:t>标★的条款要求</w:t>
            </w:r>
            <w:r>
              <w:rPr>
                <w:rFonts w:ascii="宋体" w:eastAsia="宋体" w:hAnsi="宋体" w:cs="宋体" w:hint="eastAsia"/>
                <w:b/>
                <w:bCs/>
                <w:kern w:val="0"/>
                <w:sz w:val="21"/>
                <w:szCs w:val="21"/>
                <w:lang w:eastAsia="zh-CN"/>
              </w:rPr>
              <w:t>（涉及提供佐证材料的，应按要求提供相应证明材料，任一项未响应或不满足要求的，将导致投标无效。）</w:t>
            </w:r>
          </w:p>
        </w:tc>
      </w:tr>
    </w:tbl>
    <w:p>
      <w:pPr>
        <w:adjustRightInd w:val="0"/>
        <w:snapToGrid w:val="0"/>
        <w:spacing w:line="360" w:lineRule="auto"/>
        <w:ind w:firstLine="420" w:firstLineChars="200"/>
      </w:pPr>
      <w:r>
        <w:rPr>
          <w:rFonts w:ascii="黑体" w:hint="eastAsia"/>
          <w:b/>
          <w:kern w:val="0"/>
          <w:sz w:val="24"/>
        </w:rPr>
        <w:t>注：上表所列内容为不可负偏离的实质性条款。</w:t>
      </w:r>
    </w:p>
    <w:p>
      <w:pPr>
        <w:pStyle w:val="BodyText"/>
        <w:jc w:val="center"/>
        <w:rPr>
          <w:rFonts w:ascii="宋体" w:hAnsi="宋体"/>
          <w:sz w:val="28"/>
          <w:szCs w:val="28"/>
        </w:rPr>
      </w:pPr>
      <w:bookmarkEnd w:id="8"/>
      <w:r>
        <w:rPr>
          <w:rFonts w:ascii="宋体" w:hAnsi="宋体" w:hint="eastAsia"/>
          <w:sz w:val="28"/>
          <w:szCs w:val="28"/>
        </w:rPr>
        <w:t>三、项目概况</w:t>
      </w:r>
    </w:p>
    <w:p>
      <w:pPr>
        <w:pStyle w:val="BodyText"/>
      </w:pPr>
      <w:r>
        <w:rPr>
          <w:rFonts w:hint="eastAsia"/>
        </w:rPr>
        <w:t>（一）采购需求</w:t>
      </w:r>
    </w:p>
    <w:tbl>
      <w:tblPr>
        <w:tblStyle w:val="TableNormal"/>
        <w:tblW w:w="0" w:type="auto"/>
        <w:tblInd w:w="0" w:type="dxa"/>
        <w:tblLayout w:type="fixed"/>
        <w:tblCellMar>
          <w:top w:w="15" w:type="dxa"/>
          <w:left w:w="15" w:type="dxa"/>
          <w:bottom w:w="15" w:type="dxa"/>
          <w:right w:w="15" w:type="dxa"/>
        </w:tblCellMar>
      </w:tblPr>
      <w:tblGrid>
        <w:gridCol w:w="866"/>
        <w:gridCol w:w="3685"/>
        <w:gridCol w:w="921"/>
        <w:gridCol w:w="922"/>
        <w:gridCol w:w="1701"/>
        <w:gridCol w:w="1701"/>
      </w:tblGrid>
      <w:tr>
        <w:tblPrEx>
          <w:tblW w:w="0" w:type="auto"/>
          <w:tblInd w:w="0" w:type="dxa"/>
          <w:tblLayout w:type="fixed"/>
          <w:tblCellMar>
            <w:top w:w="15" w:type="dxa"/>
            <w:left w:w="15" w:type="dxa"/>
            <w:bottom w:w="15" w:type="dxa"/>
            <w:right w:w="15" w:type="dxa"/>
          </w:tblCellMar>
        </w:tblPrEx>
        <w:trPr>
          <w:trHeight w:val="689"/>
        </w:trPr>
        <w:tc>
          <w:tcPr>
            <w:tcW w:w="866" w:type="dxa"/>
            <w:tcBorders>
              <w:top w:val="single" w:sz="4" w:space="0" w:color="000000"/>
              <w:left w:val="single" w:sz="4" w:space="0" w:color="000000"/>
              <w:right w:val="single" w:sz="4" w:space="0" w:color="000000"/>
            </w:tcBorders>
            <w:noWrap w:val="0"/>
            <w:vAlign w:val="center"/>
          </w:tcPr>
          <w:p>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序号</w:t>
            </w:r>
          </w:p>
        </w:tc>
        <w:tc>
          <w:tcPr>
            <w:tcW w:w="3685" w:type="dxa"/>
            <w:tcBorders>
              <w:top w:val="single" w:sz="4" w:space="0" w:color="000000"/>
              <w:left w:val="single" w:sz="4" w:space="0" w:color="000000"/>
              <w:bottom w:val="single" w:sz="4" w:space="0" w:color="000000"/>
              <w:right w:val="single" w:sz="4" w:space="0" w:color="000000"/>
            </w:tcBorders>
            <w:noWrap w:val="0"/>
            <w:vAlign w:val="center"/>
          </w:tcPr>
          <w:p>
            <w:pPr>
              <w:widowControl/>
              <w:adjustRightInd w:val="0"/>
              <w:snapToGrid w:val="0"/>
              <w:spacing w:line="360" w:lineRule="auto"/>
              <w:jc w:val="center"/>
              <w:textAlignment w:val="center"/>
              <w:rPr>
                <w:rFonts w:ascii="宋体" w:hAnsi="宋体" w:cs="宋体"/>
                <w:b/>
                <w:color w:val="FF0000"/>
                <w:szCs w:val="21"/>
              </w:rPr>
            </w:pPr>
            <w:r>
              <w:rPr>
                <w:rFonts w:ascii="宋体" w:hAnsi="宋体" w:cs="宋体" w:hint="eastAsia"/>
                <w:b/>
                <w:color w:val="FF0000"/>
                <w:szCs w:val="21"/>
              </w:rPr>
              <w:t>标的名称</w:t>
            </w:r>
          </w:p>
        </w:tc>
        <w:tc>
          <w:tcPr>
            <w:tcW w:w="921" w:type="dxa"/>
            <w:tcBorders>
              <w:top w:val="single" w:sz="4" w:space="0" w:color="000000"/>
              <w:left w:val="single" w:sz="4" w:space="0" w:color="000000"/>
              <w:bottom w:val="single" w:sz="4" w:space="0" w:color="000000"/>
              <w:right w:val="single" w:sz="4" w:space="0" w:color="000000"/>
            </w:tcBorders>
            <w:noWrap w:val="0"/>
            <w:vAlign w:val="center"/>
          </w:tcPr>
          <w:p>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数量</w:t>
            </w:r>
          </w:p>
        </w:tc>
        <w:tc>
          <w:tcPr>
            <w:tcW w:w="922" w:type="dxa"/>
            <w:tcBorders>
              <w:top w:val="single" w:sz="4" w:space="0" w:color="000000"/>
              <w:left w:val="single" w:sz="4" w:space="0" w:color="000000"/>
              <w:bottom w:val="single" w:sz="4" w:space="0" w:color="000000"/>
              <w:right w:val="single" w:sz="4" w:space="0" w:color="000000"/>
            </w:tcBorders>
            <w:noWrap w:val="0"/>
            <w:vAlign w:val="center"/>
          </w:tcPr>
          <w:p>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单位</w:t>
            </w:r>
          </w:p>
        </w:tc>
        <w:tc>
          <w:tcPr>
            <w:tcW w:w="1701" w:type="dxa"/>
            <w:tcBorders>
              <w:top w:val="single" w:sz="4" w:space="0" w:color="000000"/>
              <w:left w:val="single" w:sz="4" w:space="0" w:color="000000"/>
              <w:bottom w:val="single" w:sz="4" w:space="0" w:color="000000"/>
              <w:right w:val="single" w:sz="4" w:space="0" w:color="000000"/>
            </w:tcBorders>
            <w:noWrap w:val="0"/>
            <w:vAlign w:val="center"/>
          </w:tcPr>
          <w:p>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采购预算金额</w:t>
            </w:r>
          </w:p>
          <w:p>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（人民币元）</w:t>
            </w:r>
          </w:p>
        </w:tc>
        <w:tc>
          <w:tcPr>
            <w:tcW w:w="1701" w:type="dxa"/>
            <w:tcBorders>
              <w:top w:val="single" w:sz="4" w:space="0" w:color="000000"/>
              <w:left w:val="single" w:sz="4" w:space="0" w:color="000000"/>
              <w:bottom w:val="single" w:sz="4" w:space="0" w:color="000000"/>
              <w:right w:val="single" w:sz="4" w:space="0" w:color="000000"/>
            </w:tcBorders>
            <w:noWrap w:val="0"/>
            <w:vAlign w:val="center"/>
          </w:tcPr>
          <w:p>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备注</w:t>
            </w:r>
          </w:p>
        </w:tc>
      </w:tr>
      <w:tr>
        <w:tblPrEx>
          <w:tblW w:w="0" w:type="auto"/>
          <w:tblInd w:w="0" w:type="dxa"/>
          <w:tblLayout w:type="fixed"/>
          <w:tblCellMar>
            <w:top w:w="15" w:type="dxa"/>
            <w:left w:w="15" w:type="dxa"/>
            <w:bottom w:w="15" w:type="dxa"/>
            <w:right w:w="15" w:type="dxa"/>
          </w:tblCellMar>
        </w:tblPrEx>
        <w:trPr>
          <w:trHeight w:val="799"/>
        </w:trPr>
        <w:tc>
          <w:tcPr>
            <w:tcW w:w="866" w:type="dxa"/>
            <w:tcBorders>
              <w:top w:val="single" w:sz="4" w:space="0" w:color="000000"/>
              <w:left w:val="single" w:sz="4" w:space="0" w:color="000000"/>
              <w:bottom w:val="single" w:sz="4" w:space="0" w:color="000000"/>
              <w:right w:val="single" w:sz="4" w:space="0" w:color="000000"/>
            </w:tcBorders>
            <w:noWrap w:val="0"/>
            <w:vAlign w:val="center"/>
          </w:tcPr>
          <w:p>
            <w:pPr>
              <w:widowControl/>
              <w:adjustRightInd w:val="0"/>
              <w:snapToGrid w:val="0"/>
              <w:spacing w:line="360" w:lineRule="auto"/>
              <w:jc w:val="center"/>
              <w:textAlignment w:val="center"/>
              <w:rPr>
                <w:rFonts w:ascii="宋体" w:hAnsi="宋体" w:cs="宋体"/>
                <w:szCs w:val="21"/>
              </w:rPr>
            </w:pPr>
            <w:r>
              <w:rPr>
                <w:rFonts w:ascii="Times New Roman" w:hAnsi="Times New Roman" w:hint="eastAsia"/>
                <w:szCs w:val="24"/>
              </w:rPr>
              <w:t>1</w:t>
            </w:r>
          </w:p>
        </w:tc>
        <w:tc>
          <w:tcPr>
            <w:tcW w:w="3685" w:type="dxa"/>
            <w:tcBorders>
              <w:top w:val="single" w:sz="4" w:space="0" w:color="000000"/>
              <w:left w:val="single" w:sz="4" w:space="0" w:color="000000"/>
              <w:bottom w:val="single" w:sz="4" w:space="0" w:color="000000"/>
              <w:right w:val="single" w:sz="4" w:space="0" w:color="000000"/>
            </w:tcBorders>
            <w:noWrap w:val="0"/>
            <w:vAlign w:val="center"/>
          </w:tcPr>
          <w:p>
            <w:pPr>
              <w:widowControl/>
              <w:adjustRightInd w:val="0"/>
              <w:snapToGrid w:val="0"/>
              <w:spacing w:line="360" w:lineRule="auto"/>
              <w:jc w:val="center"/>
              <w:textAlignment w:val="center"/>
              <w:rPr>
                <w:rFonts w:ascii="宋体" w:eastAsia="宋体" w:hAnsi="宋体" w:cs="宋体" w:hint="eastAsia"/>
                <w:szCs w:val="21"/>
                <w:lang w:eastAsia="zh-CN"/>
              </w:rPr>
            </w:pPr>
            <w:r>
              <w:rPr>
                <w:rFonts w:ascii="宋体" w:hAnsi="宋体" w:hint="eastAsia"/>
                <w:snapToGrid w:val="0"/>
                <w:szCs w:val="21"/>
                <w:lang w:eastAsia="zh-CN"/>
              </w:rPr>
              <w:t>深圳市宝安区拘留所医疗服务</w:t>
            </w:r>
          </w:p>
        </w:tc>
        <w:tc>
          <w:tcPr>
            <w:tcW w:w="921" w:type="dxa"/>
            <w:tcBorders>
              <w:top w:val="single" w:sz="4" w:space="0" w:color="000000"/>
              <w:left w:val="single" w:sz="4" w:space="0" w:color="000000"/>
              <w:bottom w:val="single" w:sz="4" w:space="0" w:color="000000"/>
              <w:right w:val="single" w:sz="4" w:space="0" w:color="000000"/>
            </w:tcBorders>
            <w:noWrap w:val="0"/>
            <w:vAlign w:val="center"/>
          </w:tcPr>
          <w:p>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1</w:t>
            </w:r>
          </w:p>
        </w:tc>
        <w:tc>
          <w:tcPr>
            <w:tcW w:w="922" w:type="dxa"/>
            <w:tcBorders>
              <w:top w:val="single" w:sz="4" w:space="0" w:color="000000"/>
              <w:left w:val="single" w:sz="4" w:space="0" w:color="000000"/>
              <w:bottom w:val="single" w:sz="4" w:space="0" w:color="000000"/>
              <w:right w:val="single" w:sz="4" w:space="0" w:color="000000"/>
            </w:tcBorders>
            <w:noWrap w:val="0"/>
            <w:vAlign w:val="center"/>
          </w:tcPr>
          <w:p>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项</w:t>
            </w:r>
          </w:p>
        </w:tc>
        <w:tc>
          <w:tcPr>
            <w:tcW w:w="1701" w:type="dxa"/>
            <w:tcBorders>
              <w:top w:val="single" w:sz="4" w:space="0" w:color="000000"/>
              <w:left w:val="single" w:sz="4" w:space="0" w:color="000000"/>
              <w:bottom w:val="single" w:sz="4" w:space="0" w:color="000000"/>
              <w:right w:val="single" w:sz="4" w:space="0" w:color="000000"/>
            </w:tcBorders>
            <w:noWrap w:val="0"/>
            <w:vAlign w:val="center"/>
          </w:tcPr>
          <w:p>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4,680,000.00</w:t>
            </w:r>
          </w:p>
        </w:tc>
        <w:tc>
          <w:tcPr>
            <w:tcW w:w="1701" w:type="dxa"/>
            <w:tcBorders>
              <w:top w:val="single" w:sz="4" w:space="0" w:color="000000"/>
              <w:left w:val="single" w:sz="4" w:space="0" w:color="000000"/>
              <w:bottom w:val="single" w:sz="4" w:space="0" w:color="000000"/>
              <w:right w:val="single" w:sz="4" w:space="0" w:color="000000"/>
            </w:tcBorders>
            <w:noWrap w:val="0"/>
            <w:vAlign w:val="center"/>
          </w:tcPr>
          <w:p>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无</w:t>
            </w:r>
          </w:p>
        </w:tc>
      </w:tr>
    </w:tbl>
    <w:p>
      <w:pPr>
        <w:pStyle w:val="BodyText"/>
      </w:pPr>
      <w:r>
        <w:rPr>
          <w:rFonts w:hint="eastAsia"/>
        </w:rPr>
        <w:t>（二）项目背景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b w:val="0"/>
          <w:sz w:val="21"/>
          <w:szCs w:val="21"/>
        </w:rPr>
      </w:pPr>
      <w:r>
        <w:rPr>
          <w:rFonts w:ascii="宋体" w:eastAsia="宋体" w:hAnsi="宋体" w:cs="宋体" w:hint="eastAsia"/>
          <w:sz w:val="21"/>
          <w:szCs w:val="21"/>
          <w:lang w:val="en-US" w:eastAsia="zh-CN"/>
        </w:rPr>
        <w:t>本项目为2026年度深圳市公安局宝安区分局拘留所购买驻所医疗服务，本项目中标人需在所内指定场所设立门诊部，为宝安区分局拘留所提供医疗服务，保障采购人日常工作需要。</w:t>
      </w:r>
    </w:p>
    <w:p>
      <w:pPr>
        <w:autoSpaceDE w:val="0"/>
        <w:autoSpaceDN w:val="0"/>
        <w:adjustRightInd w:val="0"/>
        <w:spacing w:line="360" w:lineRule="auto"/>
        <w:ind w:firstLine="370" w:firstLineChars="176"/>
        <w:jc w:val="left"/>
        <w:rPr>
          <w:rFonts w:ascii="仿宋_GB2312" w:eastAsia="仿宋_GB2312" w:hAnsi="Times New Roman"/>
          <w:b/>
          <w:sz w:val="24"/>
          <w:szCs w:val="24"/>
        </w:rPr>
      </w:pPr>
      <w:r>
        <w:rPr>
          <w:rFonts w:ascii="仿宋_GB2312" w:eastAsia="仿宋_GB2312" w:hAnsi="Times New Roman" w:hint="eastAsia"/>
          <w:b/>
          <w:sz w:val="24"/>
          <w:szCs w:val="24"/>
        </w:rPr>
        <w:t>备注：</w:t>
      </w:r>
    </w:p>
    <w:p>
      <w:pPr>
        <w:autoSpaceDE w:val="0"/>
        <w:autoSpaceDN w:val="0"/>
        <w:adjustRightInd w:val="0"/>
        <w:spacing w:line="360" w:lineRule="auto"/>
        <w:ind w:firstLine="370" w:firstLineChars="176"/>
        <w:jc w:val="left"/>
        <w:rPr>
          <w:rFonts w:ascii="仿宋_GB2312" w:eastAsia="仿宋_GB2312" w:hAnsi="Times New Roman"/>
          <w:b/>
          <w:sz w:val="24"/>
          <w:szCs w:val="24"/>
        </w:rPr>
      </w:pPr>
      <w:r>
        <w:rPr>
          <w:rFonts w:ascii="仿宋_GB2312" w:eastAsia="仿宋_GB2312" w:hAnsi="Times New Roman" w:hint="eastAsia"/>
          <w:b/>
          <w:sz w:val="24"/>
          <w:szCs w:val="24"/>
        </w:rPr>
        <w:t>1、本项目需求中出现的工艺、材料、设备或参照的品牌等仅为方便描述而没有限制性，投标人可以在其提供的文件资料中选用替代标准，但这些替代标准要优于或相当于项目需求中要求的标准。</w:t>
      </w:r>
    </w:p>
    <w:p>
      <w:pPr>
        <w:autoSpaceDE w:val="0"/>
        <w:autoSpaceDN w:val="0"/>
        <w:adjustRightInd w:val="0"/>
        <w:spacing w:line="360" w:lineRule="auto"/>
        <w:ind w:firstLine="370" w:firstLineChars="176"/>
        <w:jc w:val="left"/>
        <w:rPr>
          <w:rFonts w:ascii="仿宋_GB2312" w:eastAsia="仿宋_GB2312" w:hAnsi="Times New Roman"/>
          <w:b/>
          <w:sz w:val="24"/>
          <w:szCs w:val="24"/>
        </w:rPr>
      </w:pPr>
      <w:r>
        <w:rPr>
          <w:rFonts w:ascii="仿宋_GB2312" w:eastAsia="仿宋_GB2312" w:hAnsi="Times New Roman" w:hint="eastAsia"/>
          <w:b/>
          <w:sz w:val="24"/>
          <w:szCs w:val="24"/>
        </w:rPr>
        <w:t>2、如要求提供证明材料，投标文件需提供相应证明材料扫描件（或截图等）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且证明材料信息相互冲突的，以不利于投标人的那份证明材料作为判断是否符合采购需求的响应内容。</w:t>
      </w:r>
    </w:p>
    <w:p>
      <w:pPr>
        <w:autoSpaceDE w:val="0"/>
        <w:autoSpaceDN w:val="0"/>
        <w:adjustRightInd w:val="0"/>
        <w:spacing w:line="360" w:lineRule="auto"/>
        <w:ind w:firstLine="370" w:firstLineChars="176"/>
        <w:jc w:val="left"/>
        <w:rPr>
          <w:rFonts w:ascii="仿宋_GB2312" w:eastAsia="仿宋_GB2312" w:hAnsi="Times New Roman"/>
          <w:b/>
          <w:sz w:val="24"/>
          <w:szCs w:val="24"/>
        </w:rPr>
      </w:pPr>
      <w:r>
        <w:rPr>
          <w:rFonts w:ascii="仿宋_GB2312" w:eastAsia="仿宋_GB2312" w:hAnsi="Times New Roman" w:hint="eastAsia"/>
          <w:b/>
          <w:sz w:val="24"/>
          <w:szCs w:val="24"/>
        </w:rPr>
        <w:t>3、投标</w:t>
      </w:r>
      <w:r>
        <w:rPr>
          <w:rFonts w:ascii="仿宋_GB2312" w:eastAsia="仿宋_GB2312" w:hAnsi="Times New Roman" w:hint="eastAsia"/>
          <w:b/>
          <w:sz w:val="24"/>
          <w:szCs w:val="24"/>
          <w:lang w:eastAsia="zh-CN"/>
        </w:rPr>
        <w:t>供应商</w:t>
      </w:r>
      <w:r>
        <w:rPr>
          <w:rFonts w:ascii="仿宋_GB2312" w:eastAsia="仿宋_GB2312" w:hAnsi="Times New Roman" w:hint="eastAsia"/>
          <w:b/>
          <w:sz w:val="24"/>
          <w:szCs w:val="24"/>
        </w:rPr>
        <w:t>提供证书或检测报告等证明材料的，颁发证书、出具报告的机构须是合法设立的机构，且具有颁发相应证书或者出具相应报告的资质。</w:t>
      </w:r>
    </w:p>
    <w:p>
      <w:pPr>
        <w:autoSpaceDE w:val="0"/>
        <w:autoSpaceDN w:val="0"/>
        <w:adjustRightInd w:val="0"/>
        <w:spacing w:line="360" w:lineRule="auto"/>
        <w:ind w:firstLine="370" w:firstLineChars="176"/>
        <w:jc w:val="left"/>
        <w:rPr>
          <w:rFonts w:ascii="仿宋_GB2312" w:eastAsia="仿宋_GB2312" w:hAnsi="Times New Roman" w:cs="Times New Roman" w:hint="eastAsia"/>
          <w:b/>
          <w:color w:val="FF0000"/>
          <w:sz w:val="24"/>
          <w:szCs w:val="24"/>
        </w:rPr>
      </w:pPr>
      <w:r>
        <w:rPr>
          <w:rFonts w:ascii="仿宋_GB2312" w:eastAsia="仿宋_GB2312" w:hAnsi="Times New Roman" w:cs="Times New Roman" w:hint="eastAsia"/>
          <w:b/>
          <w:color w:val="FF0000"/>
          <w:sz w:val="24"/>
          <w:szCs w:val="24"/>
        </w:rPr>
        <w:t>投标供应商</w:t>
      </w:r>
      <w:r>
        <w:rPr>
          <w:rFonts w:ascii="仿宋_GB2312" w:eastAsia="仿宋_GB2312" w:hAnsi="Times New Roman" w:cs="Times New Roman" w:hint="eastAsia"/>
          <w:b/>
          <w:color w:val="FF0000"/>
          <w:sz w:val="24"/>
          <w:szCs w:val="24"/>
          <w:lang w:eastAsia="zh-CN"/>
        </w:rPr>
        <w:t>须</w:t>
      </w:r>
      <w:r>
        <w:rPr>
          <w:rFonts w:ascii="仿宋_GB2312" w:eastAsia="仿宋_GB2312" w:hAnsi="Times New Roman" w:cs="Times New Roman" w:hint="eastAsia"/>
          <w:b/>
          <w:color w:val="FF0000"/>
          <w:sz w:val="24"/>
          <w:szCs w:val="24"/>
        </w:rPr>
        <w:t>严格核实所提交检测报告的真实性</w:t>
      </w:r>
      <w:r>
        <w:rPr>
          <w:rFonts w:ascii="仿宋_GB2312" w:eastAsia="仿宋_GB2312" w:hAnsi="Times New Roman" w:cs="Times New Roman" w:hint="eastAsia"/>
          <w:b/>
          <w:color w:val="FF0000"/>
          <w:sz w:val="24"/>
          <w:szCs w:val="24"/>
          <w:lang w:eastAsia="zh-CN"/>
        </w:rPr>
        <w:t>，</w:t>
      </w:r>
      <w:r>
        <w:rPr>
          <w:rFonts w:ascii="仿宋_GB2312" w:eastAsia="仿宋_GB2312" w:hAnsi="Times New Roman" w:cs="Times New Roman" w:hint="eastAsia"/>
          <w:b/>
          <w:color w:val="FF0000"/>
          <w:sz w:val="24"/>
          <w:szCs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ascii="仿宋_GB2312" w:eastAsia="仿宋_GB2312" w:hAnsi="Times New Roman" w:cs="Times New Roman" w:hint="eastAsia"/>
          <w:b/>
          <w:color w:val="FF0000"/>
          <w:sz w:val="24"/>
          <w:szCs w:val="24"/>
          <w:lang w:eastAsia="zh-CN"/>
        </w:rPr>
        <w:t>。</w:t>
      </w:r>
    </w:p>
    <w:p>
      <w:pPr>
        <w:autoSpaceDE w:val="0"/>
        <w:autoSpaceDN w:val="0"/>
        <w:adjustRightInd w:val="0"/>
        <w:spacing w:line="360" w:lineRule="auto"/>
        <w:ind w:firstLine="370" w:firstLineChars="176"/>
        <w:jc w:val="left"/>
        <w:rPr>
          <w:rFonts w:ascii="仿宋_GB2312" w:eastAsia="仿宋_GB2312" w:hAnsi="Times New Roman"/>
          <w:b/>
          <w:sz w:val="24"/>
          <w:szCs w:val="24"/>
        </w:rPr>
      </w:pPr>
      <w:r>
        <w:rPr>
          <w:rFonts w:ascii="仿宋_GB2312" w:eastAsia="仿宋_GB2312" w:hAnsi="Times New Roman" w:hint="eastAsia"/>
          <w:b/>
          <w:sz w:val="24"/>
          <w:szCs w:val="24"/>
          <w:highlight w:val="yellow"/>
        </w:rPr>
        <w:t>4、加注★的条款为不可负偏离的实质性条款，任一项未响应或不满足要求的，将导致投标无效。</w:t>
      </w:r>
    </w:p>
    <w:p>
      <w:pPr>
        <w:autoSpaceDE w:val="0"/>
        <w:autoSpaceDN w:val="0"/>
        <w:adjustRightInd w:val="0"/>
        <w:spacing w:line="360" w:lineRule="auto"/>
        <w:ind w:firstLine="370" w:firstLineChars="176"/>
        <w:jc w:val="left"/>
        <w:rPr>
          <w:rFonts w:ascii="宋体" w:hAnsi="宋体"/>
          <w:b/>
          <w:bCs/>
          <w:kern w:val="0"/>
          <w:sz w:val="24"/>
          <w:szCs w:val="20"/>
        </w:rPr>
      </w:pPr>
    </w:p>
    <w:p>
      <w:pPr>
        <w:keepNext/>
        <w:keepLines/>
        <w:adjustRightInd w:val="0"/>
        <w:spacing w:before="156" w:beforeLines="50" w:after="156" w:afterLines="50"/>
        <w:jc w:val="center"/>
        <w:textAlignment w:val="baseline"/>
        <w:outlineLvl w:val="1"/>
        <w:rPr>
          <w:rFonts w:ascii="宋体" w:hAnsi="宋体"/>
          <w:b/>
          <w:bCs/>
          <w:kern w:val="0"/>
          <w:sz w:val="28"/>
          <w:szCs w:val="28"/>
        </w:rPr>
      </w:pPr>
      <w:r>
        <w:rPr>
          <w:rFonts w:ascii="宋体" w:hAnsi="宋体" w:hint="eastAsia"/>
          <w:b/>
          <w:bCs/>
          <w:kern w:val="0"/>
          <w:sz w:val="28"/>
          <w:szCs w:val="28"/>
        </w:rPr>
        <w:t>四、项目服务要求</w:t>
      </w:r>
    </w:p>
    <w:p>
      <w:pPr>
        <w:spacing w:line="360" w:lineRule="auto"/>
        <w:ind w:firstLine="420" w:firstLineChars="200"/>
        <w:jc w:val="left"/>
        <w:rPr>
          <w:rFonts w:ascii="宋体" w:eastAsia="宋体" w:hAnsi="宋体" w:cs="Times New Roman" w:hint="default"/>
          <w:b/>
          <w:bCs/>
          <w:szCs w:val="21"/>
          <w:lang w:val="en-US" w:eastAsia="zh-CN"/>
        </w:rPr>
      </w:pPr>
      <w:r>
        <w:rPr>
          <w:rFonts w:ascii="宋体" w:eastAsia="宋体" w:hAnsi="宋体" w:cs="Times New Roman" w:hint="eastAsia"/>
          <w:b/>
          <w:bCs/>
          <w:szCs w:val="21"/>
          <w:lang w:val="en-US" w:eastAsia="zh-CN"/>
        </w:rPr>
        <w:t>（一）需求服务内容</w:t>
      </w:r>
    </w:p>
    <w:p>
      <w:pPr>
        <w:spacing w:line="360" w:lineRule="auto"/>
        <w:ind w:firstLine="420" w:firstLineChars="200"/>
        <w:jc w:val="left"/>
        <w:rPr>
          <w:rFonts w:ascii="宋体" w:eastAsia="宋体" w:hAnsi="宋体" w:cs="Times New Roman" w:hint="default"/>
          <w:b/>
          <w:bCs/>
          <w:szCs w:val="21"/>
          <w:lang w:val="en-US" w:eastAsia="zh-CN"/>
        </w:rPr>
      </w:pPr>
      <w:r>
        <w:rPr>
          <w:rFonts w:ascii="宋体" w:eastAsia="宋体" w:hAnsi="宋体" w:cs="Times New Roman" w:hint="eastAsia"/>
          <w:b/>
          <w:bCs/>
          <w:szCs w:val="21"/>
          <w:lang w:val="en-US" w:eastAsia="zh-CN"/>
        </w:rPr>
        <w:t>1.服务内容</w:t>
      </w:r>
    </w:p>
    <w:p>
      <w:pPr>
        <w:spacing w:line="360" w:lineRule="auto"/>
        <w:ind w:firstLine="420" w:firstLineChars="200"/>
        <w:jc w:val="left"/>
        <w:rPr>
          <w:rFonts w:ascii="宋体" w:eastAsia="宋体" w:hAnsi="宋体" w:cs="Times New Roman" w:hint="eastAsia"/>
          <w:szCs w:val="21"/>
        </w:rPr>
      </w:pPr>
      <w:r>
        <w:rPr>
          <w:rFonts w:ascii="宋体" w:eastAsia="宋体" w:hAnsi="宋体" w:cs="Times New Roman" w:hint="eastAsia"/>
          <w:szCs w:val="21"/>
          <w:lang w:val="en-US" w:eastAsia="zh-CN"/>
        </w:rPr>
        <w:t>1.1</w:t>
      </w:r>
      <w:r>
        <w:rPr>
          <w:rFonts w:ascii="宋体" w:eastAsia="宋体" w:hAnsi="宋体" w:cs="Times New Roman" w:hint="eastAsia"/>
          <w:szCs w:val="21"/>
          <w:lang w:eastAsia="zh-CN"/>
        </w:rPr>
        <w:t>中标供应商</w:t>
      </w:r>
      <w:r>
        <w:rPr>
          <w:rFonts w:ascii="宋体" w:eastAsia="宋体" w:hAnsi="宋体" w:cs="Times New Roman" w:hint="eastAsia"/>
          <w:szCs w:val="21"/>
        </w:rPr>
        <w:t>须在</w:t>
      </w:r>
      <w:r>
        <w:rPr>
          <w:rFonts w:ascii="宋体" w:eastAsia="宋体" w:hAnsi="宋体" w:cs="Times New Roman" w:hint="eastAsia"/>
          <w:szCs w:val="21"/>
          <w:lang w:eastAsia="zh-CN"/>
        </w:rPr>
        <w:t>采购人</w:t>
      </w:r>
      <w:r>
        <w:rPr>
          <w:rFonts w:ascii="宋体" w:eastAsia="宋体" w:hAnsi="宋体" w:cs="Times New Roman" w:hint="eastAsia"/>
          <w:szCs w:val="21"/>
        </w:rPr>
        <w:t>指定范围内设立门诊部，</w:t>
      </w:r>
      <w:r>
        <w:rPr>
          <w:rFonts w:ascii="宋体" w:eastAsia="宋体" w:hAnsi="宋体" w:cs="Times New Roman" w:hint="eastAsia"/>
          <w:szCs w:val="21"/>
          <w:lang w:eastAsia="zh-CN"/>
        </w:rPr>
        <w:t>合同协议之日起</w:t>
      </w:r>
      <w:r>
        <w:rPr>
          <w:rFonts w:ascii="宋体" w:eastAsia="宋体" w:hAnsi="宋体" w:cs="Times New Roman" w:hint="eastAsia"/>
          <w:szCs w:val="21"/>
          <w:lang w:val="en-US" w:eastAsia="zh-CN"/>
        </w:rPr>
        <w:t>2个月内必需</w:t>
      </w:r>
      <w:r>
        <w:rPr>
          <w:rFonts w:ascii="宋体" w:hAnsi="宋体" w:cs="Times New Roman" w:hint="eastAsia"/>
          <w:szCs w:val="21"/>
          <w:lang w:val="en-US" w:eastAsia="zh-CN"/>
        </w:rPr>
        <w:t>完成</w:t>
      </w:r>
      <w:r>
        <w:rPr>
          <w:rFonts w:ascii="宋体" w:eastAsia="宋体" w:hAnsi="宋体" w:cs="Times New Roman" w:hint="eastAsia"/>
          <w:szCs w:val="21"/>
          <w:lang w:val="en-US" w:eastAsia="zh-CN"/>
        </w:rPr>
        <w:t>门诊部</w:t>
      </w:r>
      <w:r>
        <w:rPr>
          <w:rFonts w:ascii="宋体" w:hAnsi="宋体" w:cs="Times New Roman" w:hint="eastAsia"/>
          <w:szCs w:val="21"/>
          <w:lang w:val="en-US" w:eastAsia="zh-CN"/>
        </w:rPr>
        <w:t>设立工作</w:t>
      </w:r>
      <w:r>
        <w:rPr>
          <w:rFonts w:ascii="宋体" w:eastAsia="宋体" w:hAnsi="宋体" w:cs="Times New Roman" w:hint="eastAsia"/>
          <w:szCs w:val="21"/>
          <w:lang w:val="en-US" w:eastAsia="zh-CN"/>
        </w:rPr>
        <w:t>，</w:t>
      </w:r>
      <w:r>
        <w:rPr>
          <w:rFonts w:ascii="宋体" w:eastAsia="宋体" w:hAnsi="宋体" w:cs="Times New Roman" w:hint="eastAsia"/>
          <w:szCs w:val="21"/>
        </w:rPr>
        <w:t>实行全天候24小时医疗保障服务,并按医疗卫生相关政策要求，办理门诊部的《医疗机构执业许可证》及相关医疗服务人员的执业</w:t>
      </w:r>
      <w:r>
        <w:rPr>
          <w:rFonts w:ascii="宋体" w:eastAsia="宋体" w:hAnsi="宋体" w:cs="Times New Roman" w:hint="eastAsia"/>
          <w:szCs w:val="21"/>
          <w:lang w:val="en-US" w:eastAsia="zh-CN"/>
        </w:rPr>
        <w:t>地进行变更</w:t>
      </w:r>
      <w:r>
        <w:rPr>
          <w:rFonts w:ascii="宋体" w:eastAsia="宋体" w:hAnsi="宋体" w:cs="Times New Roman" w:hint="eastAsia"/>
          <w:szCs w:val="21"/>
        </w:rPr>
        <w:t>，门诊部法定代表人由</w:t>
      </w:r>
      <w:r>
        <w:rPr>
          <w:rFonts w:ascii="宋体" w:eastAsia="宋体" w:hAnsi="宋体" w:cs="Times New Roman" w:hint="eastAsia"/>
          <w:szCs w:val="21"/>
          <w:lang w:eastAsia="zh-CN"/>
        </w:rPr>
        <w:t>中标供应商</w:t>
      </w:r>
      <w:r>
        <w:rPr>
          <w:rFonts w:ascii="宋体" w:eastAsia="宋体" w:hAnsi="宋体" w:cs="Times New Roman" w:hint="eastAsia"/>
          <w:szCs w:val="21"/>
        </w:rPr>
        <w:t>的法定代表人担任。</w:t>
      </w:r>
    </w:p>
    <w:p>
      <w:pPr>
        <w:spacing w:line="360" w:lineRule="auto"/>
        <w:ind w:firstLine="420" w:firstLineChars="200"/>
        <w:jc w:val="left"/>
        <w:rPr>
          <w:rFonts w:ascii="宋体" w:eastAsia="宋体" w:hAnsi="宋体" w:cs="Times New Roman" w:hint="eastAsia"/>
          <w:b/>
          <w:bCs/>
          <w:szCs w:val="21"/>
        </w:rPr>
      </w:pPr>
      <w:r>
        <w:rPr>
          <w:rFonts w:ascii="宋体" w:eastAsia="宋体" w:hAnsi="宋体" w:cs="Times New Roman" w:hint="eastAsia"/>
          <w:b/>
          <w:bCs/>
          <w:szCs w:val="21"/>
          <w:lang w:val="en-US" w:eastAsia="zh-CN"/>
        </w:rPr>
        <w:t>2.</w:t>
      </w:r>
      <w:r>
        <w:rPr>
          <w:rFonts w:ascii="宋体" w:eastAsia="宋体" w:hAnsi="宋体" w:cs="Times New Roman" w:hint="eastAsia"/>
          <w:b/>
          <w:bCs/>
          <w:szCs w:val="21"/>
        </w:rPr>
        <w:t>医疗服务要求</w:t>
      </w:r>
    </w:p>
    <w:p>
      <w:pPr>
        <w:spacing w:line="360" w:lineRule="auto"/>
        <w:ind w:firstLine="420" w:firstLineChars="200"/>
        <w:jc w:val="left"/>
        <w:rPr>
          <w:rFonts w:ascii="宋体" w:eastAsia="宋体" w:hAnsi="宋体" w:cs="Times New Roman" w:hint="eastAsia"/>
          <w:szCs w:val="21"/>
          <w:lang w:eastAsia="zh-CN"/>
        </w:rPr>
      </w:pPr>
      <w:r>
        <w:rPr>
          <w:rFonts w:ascii="宋体" w:eastAsia="宋体" w:hAnsi="宋体" w:cs="Times New Roman" w:hint="eastAsia"/>
          <w:szCs w:val="21"/>
          <w:lang w:val="en-US" w:eastAsia="zh-CN"/>
        </w:rPr>
        <w:t>2.1入所</w:t>
      </w:r>
      <w:r>
        <w:rPr>
          <w:rFonts w:ascii="宋体" w:eastAsia="宋体" w:hAnsi="宋体" w:cs="Times New Roman" w:hint="eastAsia"/>
          <w:szCs w:val="21"/>
        </w:rPr>
        <w:t>健康检查:依据公安部有关规定，</w:t>
      </w:r>
      <w:r>
        <w:rPr>
          <w:rFonts w:ascii="宋体" w:eastAsia="宋体" w:hAnsi="宋体" w:cs="Times New Roman" w:hint="eastAsia"/>
          <w:szCs w:val="21"/>
          <w:lang w:val="en-US" w:eastAsia="zh-CN"/>
        </w:rPr>
        <w:t>熟悉掌握被拘留人员收拘标准、查体及审核体检报告，</w:t>
      </w:r>
      <w:r>
        <w:rPr>
          <w:rFonts w:ascii="宋体" w:eastAsia="宋体" w:hAnsi="宋体" w:cs="Times New Roman" w:hint="eastAsia"/>
          <w:szCs w:val="21"/>
        </w:rPr>
        <w:t>完成被拘留人员入所健康检查工作。</w:t>
      </w:r>
      <w:r>
        <w:rPr>
          <w:rFonts w:ascii="宋体" w:eastAsia="宋体" w:hAnsi="宋体" w:cs="Times New Roman" w:hint="eastAsia"/>
          <w:szCs w:val="21"/>
          <w:lang w:val="en-US" w:eastAsia="zh-CN"/>
        </w:rPr>
        <w:t>负责入所健康检查的医生需熟悉掌握被拘人员停止执行拘留</w:t>
      </w:r>
      <w:r>
        <w:rPr>
          <w:rFonts w:ascii="宋体" w:eastAsia="宋体" w:hAnsi="宋体" w:cs="Times New Roman" w:hint="eastAsia"/>
          <w:szCs w:val="21"/>
          <w:lang w:eastAsia="zh-CN"/>
        </w:rPr>
        <w:t>、不予收拘的标准，</w:t>
      </w:r>
      <w:r>
        <w:rPr>
          <w:rFonts w:ascii="宋体" w:eastAsia="宋体" w:hAnsi="宋体" w:cs="Times New Roman" w:hint="eastAsia"/>
          <w:szCs w:val="21"/>
          <w:lang w:val="en-US" w:eastAsia="zh-CN"/>
        </w:rPr>
        <w:t>并</w:t>
      </w:r>
      <w:r>
        <w:rPr>
          <w:rFonts w:ascii="宋体" w:eastAsia="宋体" w:hAnsi="宋体" w:cs="Times New Roman" w:hint="eastAsia"/>
          <w:szCs w:val="21"/>
          <w:lang w:eastAsia="zh-CN"/>
        </w:rPr>
        <w:t>成立</w:t>
      </w:r>
      <w:r>
        <w:rPr>
          <w:rFonts w:ascii="宋体" w:eastAsia="宋体" w:hAnsi="宋体" w:cs="Times New Roman" w:hint="eastAsia"/>
          <w:szCs w:val="21"/>
          <w:lang w:val="en-US" w:eastAsia="zh-CN"/>
        </w:rPr>
        <w:t>评估</w:t>
      </w:r>
      <w:r>
        <w:rPr>
          <w:rFonts w:ascii="宋体" w:eastAsia="宋体" w:hAnsi="宋体" w:cs="Times New Roman" w:hint="eastAsia"/>
          <w:szCs w:val="21"/>
          <w:lang w:eastAsia="zh-CN"/>
        </w:rPr>
        <w:t>小组。</w:t>
      </w:r>
    </w:p>
    <w:p>
      <w:pPr>
        <w:spacing w:line="360" w:lineRule="auto"/>
        <w:ind w:firstLine="420" w:firstLineChars="200"/>
        <w:jc w:val="left"/>
        <w:rPr>
          <w:rFonts w:ascii="宋体" w:eastAsia="宋体" w:hAnsi="宋体" w:cs="Times New Roman" w:hint="eastAsia"/>
          <w:szCs w:val="21"/>
          <w:lang w:val="en-US" w:eastAsia="zh-CN"/>
        </w:rPr>
      </w:pPr>
      <w:r>
        <w:rPr>
          <w:rFonts w:ascii="宋体" w:eastAsia="宋体" w:hAnsi="宋体" w:cs="Times New Roman" w:hint="eastAsia"/>
          <w:szCs w:val="21"/>
          <w:lang w:val="en-US" w:eastAsia="zh-CN"/>
        </w:rPr>
        <w:t>2.2</w:t>
      </w:r>
      <w:r>
        <w:rPr>
          <w:rFonts w:ascii="宋体" w:eastAsia="宋体" w:hAnsi="宋体" w:cs="Times New Roman" w:hint="eastAsia"/>
          <w:szCs w:val="21"/>
        </w:rPr>
        <w:t>所内医疗:主要负责日常巡诊</w:t>
      </w:r>
      <w:r>
        <w:rPr>
          <w:rFonts w:ascii="宋体" w:eastAsia="宋体" w:hAnsi="宋体" w:cs="Times New Roman" w:hint="eastAsia"/>
          <w:szCs w:val="21"/>
          <w:lang w:eastAsia="zh-CN"/>
        </w:rPr>
        <w:t>（</w:t>
      </w:r>
      <w:r>
        <w:rPr>
          <w:rFonts w:ascii="宋体" w:eastAsia="宋体" w:hAnsi="宋体" w:cs="Times New Roman" w:hint="eastAsia"/>
          <w:szCs w:val="21"/>
        </w:rPr>
        <w:t>每日上午巡诊不少于一次、下午巡诊不少于一次</w:t>
      </w:r>
      <w:r>
        <w:rPr>
          <w:rFonts w:ascii="宋体" w:eastAsia="宋体" w:hAnsi="宋体" w:cs="Times New Roman" w:hint="eastAsia"/>
          <w:szCs w:val="21"/>
          <w:lang w:eastAsia="zh-CN"/>
        </w:rPr>
        <w:t>，</w:t>
      </w:r>
      <w:r>
        <w:rPr>
          <w:rFonts w:ascii="宋体" w:eastAsia="宋体" w:hAnsi="宋体" w:cs="Times New Roman" w:hint="eastAsia"/>
          <w:szCs w:val="21"/>
          <w:lang w:val="en-US" w:eastAsia="zh-CN"/>
        </w:rPr>
        <w:t>夜间对列管的重点病号进行一次巡诊</w:t>
      </w:r>
      <w:r>
        <w:rPr>
          <w:rFonts w:ascii="宋体" w:eastAsia="宋体" w:hAnsi="宋体" w:cs="Times New Roman" w:hint="eastAsia"/>
          <w:szCs w:val="21"/>
          <w:lang w:eastAsia="zh-CN"/>
        </w:rPr>
        <w:t>）</w:t>
      </w:r>
      <w:r>
        <w:rPr>
          <w:rFonts w:ascii="宋体" w:eastAsia="宋体" w:hAnsi="宋体" w:cs="Times New Roman" w:hint="eastAsia"/>
          <w:szCs w:val="21"/>
        </w:rPr>
        <w:t>、对危重病犯及风险收押人员一人一策、门(急)诊、药品发放、防疫消杀、院感及档案管理</w:t>
      </w:r>
      <w:r>
        <w:rPr>
          <w:rFonts w:ascii="宋体" w:eastAsia="宋体" w:hAnsi="宋体" w:cs="Times New Roman" w:hint="eastAsia"/>
          <w:szCs w:val="21"/>
          <w:lang w:eastAsia="zh-CN"/>
        </w:rPr>
        <w:t>，</w:t>
      </w:r>
      <w:r>
        <w:rPr>
          <w:rFonts w:ascii="宋体" w:eastAsia="宋体" w:hAnsi="宋体" w:cs="Times New Roman" w:hint="eastAsia"/>
          <w:szCs w:val="21"/>
          <w:lang w:val="en-US" w:eastAsia="zh-CN"/>
        </w:rPr>
        <w:t>根据病患需要开展相应的注射治疗、清创缝合、换药包扎等工作。</w:t>
      </w:r>
    </w:p>
    <w:p>
      <w:pPr>
        <w:spacing w:line="360" w:lineRule="auto"/>
        <w:ind w:firstLine="420" w:firstLineChars="200"/>
        <w:jc w:val="left"/>
        <w:rPr>
          <w:rFonts w:ascii="宋体" w:eastAsia="宋体" w:hAnsi="宋体" w:cs="Times New Roman" w:hint="eastAsia"/>
          <w:szCs w:val="21"/>
          <w:lang w:val="en-US" w:eastAsia="zh-CN"/>
        </w:rPr>
      </w:pPr>
      <w:r>
        <w:rPr>
          <w:rFonts w:ascii="宋体" w:eastAsia="宋体" w:hAnsi="宋体" w:cs="Times New Roman" w:hint="eastAsia"/>
          <w:szCs w:val="21"/>
          <w:lang w:val="en-US" w:eastAsia="zh-CN"/>
        </w:rPr>
        <w:t>2.3在所急救处置：早期处置（例如心肺复苏、气管插管、止血、注射等）。</w:t>
      </w:r>
    </w:p>
    <w:p>
      <w:pPr>
        <w:spacing w:line="360" w:lineRule="auto"/>
        <w:ind w:firstLine="420" w:firstLineChars="200"/>
        <w:jc w:val="left"/>
        <w:rPr>
          <w:rFonts w:ascii="宋体" w:eastAsia="宋体" w:hAnsi="宋体" w:cs="Times New Roman" w:hint="eastAsia"/>
          <w:szCs w:val="21"/>
        </w:rPr>
      </w:pPr>
      <w:r>
        <w:rPr>
          <w:rFonts w:ascii="宋体" w:eastAsia="宋体" w:hAnsi="宋体" w:cs="Times New Roman" w:hint="eastAsia"/>
          <w:szCs w:val="21"/>
          <w:lang w:val="en-US" w:eastAsia="zh-CN"/>
        </w:rPr>
        <w:t>2.4</w:t>
      </w:r>
      <w:r>
        <w:rPr>
          <w:rFonts w:ascii="宋体" w:eastAsia="宋体" w:hAnsi="宋体" w:cs="Times New Roman" w:hint="eastAsia"/>
          <w:szCs w:val="21"/>
        </w:rPr>
        <w:t>出所就医:</w:t>
      </w:r>
    </w:p>
    <w:p>
      <w:pPr>
        <w:spacing w:line="360" w:lineRule="auto"/>
        <w:ind w:firstLine="420" w:firstLineChars="200"/>
        <w:jc w:val="left"/>
        <w:rPr>
          <w:rFonts w:ascii="宋体" w:eastAsia="宋体" w:hAnsi="宋体" w:cs="Times New Roman" w:hint="eastAsia"/>
          <w:b/>
          <w:bCs/>
          <w:szCs w:val="21"/>
          <w:u w:val="double"/>
          <w:lang w:val="en-US" w:eastAsia="zh-CN"/>
        </w:rPr>
      </w:pPr>
      <w:r>
        <w:rPr>
          <w:rFonts w:ascii="宋体" w:eastAsia="宋体" w:hAnsi="宋体" w:cs="Times New Roman" w:hint="eastAsia"/>
          <w:b/>
          <w:bCs/>
          <w:szCs w:val="21"/>
          <w:u w:val="double"/>
          <w:lang w:eastAsia="zh-CN"/>
        </w:rPr>
        <w:t>（</w:t>
      </w:r>
      <w:r>
        <w:rPr>
          <w:rFonts w:ascii="宋体" w:eastAsia="宋体" w:hAnsi="宋体" w:cs="Times New Roman" w:hint="eastAsia"/>
          <w:b/>
          <w:bCs/>
          <w:szCs w:val="21"/>
          <w:u w:val="double"/>
          <w:lang w:val="en-US" w:eastAsia="zh-CN"/>
        </w:rPr>
        <w:t>1</w:t>
      </w:r>
      <w:r>
        <w:rPr>
          <w:rFonts w:ascii="宋体" w:eastAsia="宋体" w:hAnsi="宋体" w:cs="Times New Roman" w:hint="eastAsia"/>
          <w:b/>
          <w:bCs/>
          <w:szCs w:val="21"/>
          <w:u w:val="double"/>
          <w:lang w:eastAsia="zh-CN"/>
        </w:rPr>
        <w:t>）</w:t>
      </w:r>
      <w:r>
        <w:rPr>
          <w:rFonts w:ascii="宋体" w:eastAsia="宋体" w:hAnsi="宋体" w:cs="Times New Roman" w:hint="eastAsia"/>
          <w:b/>
          <w:bCs/>
          <w:szCs w:val="21"/>
          <w:u w:val="double"/>
        </w:rPr>
        <w:t>在</w:t>
      </w:r>
      <w:r>
        <w:rPr>
          <w:rFonts w:ascii="宋体" w:eastAsia="宋体" w:hAnsi="宋体" w:cs="Times New Roman" w:hint="eastAsia"/>
          <w:b/>
          <w:bCs/>
          <w:szCs w:val="21"/>
          <w:u w:val="double"/>
          <w:lang w:eastAsia="zh-CN"/>
        </w:rPr>
        <w:t>中标供应商</w:t>
      </w:r>
      <w:r>
        <w:rPr>
          <w:rFonts w:ascii="宋体" w:eastAsia="宋体" w:hAnsi="宋体" w:cs="Times New Roman" w:hint="eastAsia"/>
          <w:b/>
          <w:bCs/>
          <w:szCs w:val="21"/>
          <w:u w:val="double"/>
        </w:rPr>
        <w:t>所</w:t>
      </w:r>
      <w:r>
        <w:rPr>
          <w:rFonts w:ascii="宋体" w:eastAsia="宋体" w:hAnsi="宋体" w:cs="Times New Roman" w:hint="eastAsia"/>
          <w:b/>
          <w:bCs/>
          <w:szCs w:val="21"/>
          <w:u w:val="double"/>
          <w:lang w:val="en-US" w:eastAsia="zh-CN"/>
        </w:rPr>
        <w:t>属</w:t>
      </w:r>
      <w:r>
        <w:rPr>
          <w:rFonts w:ascii="宋体" w:eastAsia="宋体" w:hAnsi="宋体" w:cs="Times New Roman" w:hint="eastAsia"/>
          <w:b/>
          <w:bCs/>
          <w:szCs w:val="21"/>
          <w:u w:val="double"/>
        </w:rPr>
        <w:t>院部收治治疗的，</w:t>
      </w:r>
      <w:r>
        <w:rPr>
          <w:rFonts w:ascii="宋体" w:eastAsia="宋体" w:hAnsi="宋体" w:cs="Times New Roman" w:hint="eastAsia"/>
          <w:b/>
          <w:bCs/>
          <w:szCs w:val="21"/>
          <w:u w:val="double"/>
          <w:lang w:eastAsia="zh-CN"/>
        </w:rPr>
        <w:t>中标供应商</w:t>
      </w:r>
      <w:r>
        <w:rPr>
          <w:rFonts w:ascii="宋体" w:eastAsia="宋体" w:hAnsi="宋体" w:cs="Times New Roman" w:hint="eastAsia"/>
          <w:b/>
          <w:bCs/>
          <w:szCs w:val="21"/>
          <w:u w:val="double"/>
        </w:rPr>
        <w:t>应开辟“绿色通道”，</w:t>
      </w:r>
      <w:r>
        <w:rPr>
          <w:rFonts w:ascii="宋体" w:eastAsia="宋体" w:hAnsi="宋体" w:cs="Times New Roman" w:hint="eastAsia"/>
          <w:b/>
          <w:bCs/>
          <w:szCs w:val="21"/>
          <w:u w:val="double"/>
          <w:lang w:val="en-US"/>
        </w:rPr>
        <w:t>对在押人员的门、急诊及住院实行</w:t>
      </w:r>
      <w:r>
        <w:rPr>
          <w:rFonts w:ascii="宋体" w:hAnsi="宋体" w:cs="Times New Roman" w:hint="eastAsia"/>
          <w:b/>
          <w:bCs/>
          <w:szCs w:val="21"/>
          <w:u w:val="double"/>
          <w:lang w:val="en-US" w:eastAsia="zh-CN"/>
        </w:rPr>
        <w:t>优先诊治，治疗所产生的费用记入宝安公安分局</w:t>
      </w:r>
      <w:r>
        <w:rPr>
          <w:rFonts w:ascii="宋体" w:eastAsia="宋体" w:hAnsi="宋体" w:cs="Times New Roman" w:hint="eastAsia"/>
          <w:b/>
          <w:bCs/>
          <w:szCs w:val="21"/>
          <w:u w:val="double"/>
        </w:rPr>
        <w:t>“绿色通道”</w:t>
      </w:r>
      <w:r>
        <w:rPr>
          <w:rFonts w:ascii="宋体" w:hAnsi="宋体" w:cs="Times New Roman" w:hint="eastAsia"/>
          <w:b/>
          <w:bCs/>
          <w:szCs w:val="21"/>
          <w:u w:val="double"/>
          <w:lang w:val="en-US" w:eastAsia="zh-CN"/>
        </w:rPr>
        <w:t>账户。协助出所就医医护负责</w:t>
      </w:r>
      <w:r>
        <w:rPr>
          <w:rFonts w:ascii="宋体" w:eastAsia="宋体" w:hAnsi="宋体" w:cs="Times New Roman" w:hint="eastAsia"/>
          <w:b/>
          <w:bCs/>
          <w:szCs w:val="21"/>
          <w:u w:val="double"/>
          <w:lang w:val="en-US"/>
        </w:rPr>
        <w:t>协调医院相关业务科室，</w:t>
      </w:r>
      <w:r>
        <w:rPr>
          <w:rFonts w:ascii="宋体" w:hAnsi="宋体" w:cs="Times New Roman" w:hint="eastAsia"/>
          <w:b/>
          <w:bCs/>
          <w:szCs w:val="21"/>
          <w:u w:val="double"/>
          <w:lang w:val="en-US" w:eastAsia="zh-CN"/>
        </w:rPr>
        <w:t>大型医疗设备支持与保障</w:t>
      </w:r>
      <w:r>
        <w:rPr>
          <w:rFonts w:ascii="宋体" w:eastAsia="宋体" w:hAnsi="宋体" w:cs="Times New Roman" w:hint="eastAsia"/>
          <w:b/>
          <w:bCs/>
          <w:szCs w:val="21"/>
          <w:u w:val="double"/>
          <w:lang w:val="en-US"/>
        </w:rPr>
        <w:t>，给予优先检查、优先诊疗、优先救治、优先住院等快速有效的出所就医保障工作</w:t>
      </w:r>
      <w:r>
        <w:rPr>
          <w:rFonts w:ascii="宋体" w:eastAsia="宋体" w:hAnsi="宋体" w:cs="Times New Roman" w:hint="eastAsia"/>
          <w:b/>
          <w:bCs/>
          <w:szCs w:val="21"/>
          <w:u w:val="double"/>
          <w:lang w:val="en-US" w:eastAsia="zh-CN"/>
        </w:rPr>
        <w:t>。</w:t>
      </w:r>
    </w:p>
    <w:p>
      <w:pPr>
        <w:spacing w:line="360" w:lineRule="auto"/>
        <w:ind w:firstLine="420" w:firstLineChars="200"/>
        <w:jc w:val="left"/>
        <w:rPr>
          <w:rFonts w:ascii="宋体" w:eastAsia="宋体" w:hAnsi="宋体" w:cs="Times New Roman" w:hint="eastAsia"/>
          <w:szCs w:val="21"/>
        </w:rPr>
      </w:pPr>
      <w:r>
        <w:rPr>
          <w:rFonts w:ascii="宋体" w:eastAsia="宋体" w:hAnsi="宋体" w:cs="Times New Roman" w:hint="eastAsia"/>
          <w:szCs w:val="21"/>
          <w:lang w:eastAsia="zh-CN"/>
        </w:rPr>
        <w:t>（</w:t>
      </w:r>
      <w:r>
        <w:rPr>
          <w:rFonts w:ascii="宋体" w:eastAsia="宋体" w:hAnsi="宋体" w:cs="Times New Roman" w:hint="eastAsia"/>
          <w:szCs w:val="21"/>
          <w:lang w:val="en-US" w:eastAsia="zh-CN"/>
        </w:rPr>
        <w:t>2</w:t>
      </w:r>
      <w:r>
        <w:rPr>
          <w:rFonts w:ascii="宋体" w:eastAsia="宋体" w:hAnsi="宋体" w:cs="Times New Roman" w:hint="eastAsia"/>
          <w:szCs w:val="21"/>
          <w:lang w:eastAsia="zh-CN"/>
        </w:rPr>
        <w:t>）</w:t>
      </w:r>
      <w:r>
        <w:rPr>
          <w:rFonts w:ascii="宋体" w:eastAsia="宋体" w:hAnsi="宋体" w:cs="Times New Roman" w:hint="eastAsia"/>
          <w:szCs w:val="21"/>
        </w:rPr>
        <w:t>因救治对象病情特殊需</w:t>
      </w:r>
      <w:r>
        <w:rPr>
          <w:rFonts w:ascii="宋体" w:eastAsia="宋体" w:hAnsi="宋体" w:cs="Times New Roman" w:hint="eastAsia"/>
          <w:szCs w:val="21"/>
          <w:lang w:val="en-US" w:eastAsia="zh-CN"/>
        </w:rPr>
        <w:t>送院</w:t>
      </w:r>
      <w:r>
        <w:rPr>
          <w:rFonts w:ascii="宋体" w:eastAsia="宋体" w:hAnsi="宋体" w:cs="Times New Roman" w:hint="eastAsia"/>
          <w:szCs w:val="21"/>
        </w:rPr>
        <w:t>治疗的，由拘留所医疗负责人联系对接医院，</w:t>
      </w:r>
      <w:r>
        <w:rPr>
          <w:rFonts w:ascii="宋体" w:eastAsia="宋体" w:hAnsi="宋体" w:cs="Times New Roman" w:hint="eastAsia"/>
          <w:szCs w:val="21"/>
          <w:lang w:eastAsia="zh-CN"/>
        </w:rPr>
        <w:t>中标供应商</w:t>
      </w:r>
      <w:r>
        <w:rPr>
          <w:rFonts w:ascii="宋体" w:eastAsia="宋体" w:hAnsi="宋体" w:cs="Times New Roman" w:hint="eastAsia"/>
          <w:szCs w:val="21"/>
        </w:rPr>
        <w:t>协助办理入院治疗手续，并至少</w:t>
      </w:r>
      <w:r>
        <w:rPr>
          <w:rFonts w:ascii="宋体" w:eastAsia="宋体" w:hAnsi="宋体" w:cs="Times New Roman" w:hint="eastAsia"/>
          <w:szCs w:val="21"/>
          <w:lang w:val="en-US" w:eastAsia="zh-CN"/>
        </w:rPr>
        <w:t>派遣</w:t>
      </w:r>
      <w:r>
        <w:rPr>
          <w:rFonts w:ascii="宋体" w:eastAsia="宋体" w:hAnsi="宋体" w:cs="Times New Roman" w:hint="eastAsia"/>
          <w:szCs w:val="21"/>
        </w:rPr>
        <w:t>1名驻所医生</w:t>
      </w:r>
      <w:r>
        <w:rPr>
          <w:rFonts w:ascii="宋体" w:eastAsia="宋体" w:hAnsi="宋体" w:cs="Times New Roman" w:hint="eastAsia"/>
          <w:szCs w:val="21"/>
          <w:lang w:val="en-US" w:eastAsia="zh-CN"/>
        </w:rPr>
        <w:t>和1名驻所护士</w:t>
      </w:r>
      <w:r>
        <w:rPr>
          <w:rFonts w:ascii="宋体" w:eastAsia="宋体" w:hAnsi="宋体" w:cs="Times New Roman" w:hint="eastAsia"/>
          <w:szCs w:val="21"/>
        </w:rPr>
        <w:t>陪同在押人员前往。</w:t>
      </w:r>
    </w:p>
    <w:p>
      <w:pPr>
        <w:spacing w:line="360" w:lineRule="auto"/>
        <w:ind w:firstLine="420" w:firstLineChars="200"/>
        <w:jc w:val="left"/>
        <w:rPr>
          <w:rFonts w:ascii="宋体" w:eastAsia="宋体" w:hAnsi="宋体" w:cs="Times New Roman" w:hint="eastAsia"/>
          <w:b/>
          <w:bCs/>
          <w:szCs w:val="21"/>
          <w:u w:val="double"/>
          <w:lang w:val="en-US" w:eastAsia="zh-CN"/>
        </w:rPr>
      </w:pPr>
      <w:r>
        <w:rPr>
          <w:rFonts w:ascii="宋体" w:eastAsia="宋体" w:hAnsi="宋体" w:cs="Times New Roman" w:hint="eastAsia"/>
          <w:b/>
          <w:bCs/>
          <w:szCs w:val="21"/>
          <w:u w:val="double"/>
          <w:lang w:val="en-US" w:eastAsia="zh-CN"/>
        </w:rPr>
        <w:t>2.</w:t>
      </w:r>
      <w:r>
        <w:rPr>
          <w:rFonts w:ascii="宋体" w:hAnsi="宋体" w:cs="Times New Roman" w:hint="eastAsia"/>
          <w:b/>
          <w:bCs/>
          <w:szCs w:val="21"/>
          <w:u w:val="double"/>
          <w:lang w:val="en-US" w:eastAsia="zh-CN"/>
        </w:rPr>
        <w:t>5</w:t>
      </w:r>
      <w:r>
        <w:rPr>
          <w:rFonts w:ascii="宋体" w:eastAsia="宋体" w:hAnsi="宋体" w:cs="Times New Roman" w:hint="eastAsia"/>
          <w:b/>
          <w:bCs/>
          <w:szCs w:val="21"/>
          <w:u w:val="double"/>
        </w:rPr>
        <w:t>提供专家远程问诊服务：为保护在押人员合法权益防止泄露在押人员隐私，利用监所管理支队现有公安网视频会议系统通过线上模式为需求单位提供专家远程咨询诊断，所需专家的专业类型由监所管理支队决定。</w:t>
      </w:r>
    </w:p>
    <w:p>
      <w:pPr>
        <w:spacing w:line="360" w:lineRule="auto"/>
        <w:ind w:firstLine="420" w:firstLineChars="200"/>
        <w:jc w:val="left"/>
        <w:rPr>
          <w:rFonts w:ascii="宋体" w:eastAsia="宋体" w:hAnsi="宋体" w:cs="Times New Roman" w:hint="eastAsia"/>
          <w:b/>
          <w:bCs/>
          <w:szCs w:val="21"/>
          <w:u w:val="double"/>
        </w:rPr>
      </w:pPr>
      <w:r>
        <w:rPr>
          <w:rFonts w:ascii="宋体" w:eastAsia="宋体" w:hAnsi="宋体" w:cs="Times New Roman" w:hint="eastAsia"/>
          <w:b/>
          <w:bCs/>
          <w:szCs w:val="21"/>
          <w:u w:val="double"/>
          <w:lang w:val="en-US" w:eastAsia="zh-CN"/>
        </w:rPr>
        <w:t>2.</w:t>
      </w:r>
      <w:r>
        <w:rPr>
          <w:rFonts w:ascii="宋体" w:hAnsi="宋体" w:cs="Times New Roman" w:hint="eastAsia"/>
          <w:b/>
          <w:bCs/>
          <w:szCs w:val="21"/>
          <w:u w:val="double"/>
          <w:lang w:val="en-US" w:eastAsia="zh-CN"/>
        </w:rPr>
        <w:t>6</w:t>
      </w:r>
      <w:r>
        <w:rPr>
          <w:rFonts w:ascii="宋体" w:eastAsia="宋体" w:hAnsi="宋体" w:cs="Times New Roman" w:hint="eastAsia"/>
          <w:b/>
          <w:bCs/>
          <w:szCs w:val="21"/>
          <w:u w:val="double"/>
        </w:rPr>
        <w:t>驻所医务人员要严格按照《拘留所条例》等要求，承担</w:t>
      </w:r>
      <w:r>
        <w:rPr>
          <w:rFonts w:ascii="宋体" w:eastAsia="宋体" w:hAnsi="宋体" w:cs="Times New Roman" w:hint="eastAsia"/>
          <w:b/>
          <w:bCs/>
          <w:szCs w:val="21"/>
          <w:u w:val="double"/>
          <w:lang w:eastAsia="zh-CN"/>
        </w:rPr>
        <w:t>采购人</w:t>
      </w:r>
      <w:r>
        <w:rPr>
          <w:rFonts w:ascii="宋体" w:eastAsia="宋体" w:hAnsi="宋体" w:cs="Times New Roman" w:hint="eastAsia"/>
          <w:b/>
          <w:bCs/>
          <w:szCs w:val="21"/>
          <w:u w:val="double"/>
        </w:rPr>
        <w:t>的医疗卫生工作。主要负责被拘留人员入所的健康与体表检查、医疗卫生等工作(</w:t>
      </w:r>
      <w:r>
        <w:rPr>
          <w:rFonts w:ascii="宋体" w:hAnsi="宋体" w:cs="Times New Roman" w:hint="eastAsia"/>
          <w:b/>
          <w:bCs/>
          <w:szCs w:val="21"/>
          <w:u w:val="double"/>
          <w:lang w:val="en-US" w:eastAsia="zh-CN"/>
        </w:rPr>
        <w:t>接</w:t>
      </w:r>
      <w:r>
        <w:rPr>
          <w:rFonts w:ascii="宋体" w:eastAsia="宋体" w:hAnsi="宋体" w:cs="Times New Roman" w:hint="eastAsia"/>
          <w:b/>
          <w:bCs/>
          <w:szCs w:val="21"/>
          <w:u w:val="double"/>
        </w:rPr>
        <w:t>诊，诊断、治疗、护理，</w:t>
      </w:r>
      <w:r>
        <w:rPr>
          <w:rFonts w:ascii="宋体" w:eastAsia="宋体" w:hAnsi="宋体" w:cs="Times New Roman" w:hint="eastAsia"/>
          <w:b/>
          <w:bCs/>
          <w:szCs w:val="21"/>
          <w:u w:val="double"/>
          <w:lang w:val="en-US" w:eastAsia="zh-CN"/>
        </w:rPr>
        <w:t>抢救</w:t>
      </w:r>
      <w:r>
        <w:rPr>
          <w:rFonts w:ascii="宋体" w:eastAsia="宋体" w:hAnsi="宋体" w:cs="Times New Roman" w:hint="eastAsia"/>
          <w:b/>
          <w:bCs/>
          <w:szCs w:val="21"/>
          <w:u w:val="double"/>
          <w:lang w:eastAsia="zh-CN"/>
        </w:rPr>
        <w:t>：</w:t>
      </w:r>
      <w:r>
        <w:rPr>
          <w:rFonts w:ascii="宋体" w:eastAsia="宋体" w:hAnsi="宋体" w:cs="Times New Roman" w:hint="eastAsia"/>
          <w:b/>
          <w:bCs/>
          <w:szCs w:val="21"/>
          <w:u w:val="double"/>
        </w:rPr>
        <w:t>突发疾病处置、出所就医、卫生防疫)，严格</w:t>
      </w:r>
      <w:r>
        <w:rPr>
          <w:rFonts w:ascii="宋体" w:eastAsia="宋体" w:hAnsi="宋体" w:cs="Times New Roman" w:hint="eastAsia"/>
          <w:b/>
          <w:bCs/>
          <w:szCs w:val="21"/>
          <w:u w:val="double"/>
          <w:lang w:val="en-US" w:eastAsia="zh-CN"/>
        </w:rPr>
        <w:t>落实拘</w:t>
      </w:r>
      <w:r>
        <w:rPr>
          <w:rFonts w:ascii="宋体" w:eastAsia="宋体" w:hAnsi="宋体" w:cs="Times New Roman" w:hint="eastAsia"/>
          <w:b/>
          <w:bCs/>
          <w:szCs w:val="21"/>
          <w:u w:val="double"/>
        </w:rPr>
        <w:t>留所各项医疗防控措施，及时医治患病被监管人员，保障被拘留人员合法健康权益。</w:t>
      </w:r>
    </w:p>
    <w:p>
      <w:pPr>
        <w:spacing w:line="360" w:lineRule="auto"/>
        <w:ind w:firstLine="420" w:firstLineChars="200"/>
        <w:jc w:val="left"/>
        <w:rPr>
          <w:rFonts w:ascii="宋体" w:eastAsia="宋体" w:hAnsi="宋体" w:cs="Times New Roman" w:hint="eastAsia"/>
          <w:b/>
          <w:bCs/>
          <w:szCs w:val="21"/>
          <w:u w:val="double"/>
          <w:lang w:val="en-US" w:eastAsia="zh-CN"/>
        </w:rPr>
      </w:pPr>
      <w:r>
        <w:rPr>
          <w:rFonts w:ascii="宋体" w:eastAsia="宋体" w:hAnsi="宋体" w:cs="Times New Roman" w:hint="eastAsia"/>
          <w:b/>
          <w:bCs/>
          <w:szCs w:val="21"/>
          <w:u w:val="double"/>
          <w:lang w:val="en-US" w:eastAsia="zh-CN"/>
        </w:rPr>
        <w:t>2.</w:t>
      </w:r>
      <w:r>
        <w:rPr>
          <w:rFonts w:ascii="宋体" w:hAnsi="宋体" w:cs="Times New Roman" w:hint="eastAsia"/>
          <w:b/>
          <w:bCs/>
          <w:szCs w:val="21"/>
          <w:u w:val="double"/>
          <w:lang w:val="en-US" w:eastAsia="zh-CN"/>
        </w:rPr>
        <w:t>7</w:t>
      </w:r>
      <w:r>
        <w:rPr>
          <w:rFonts w:ascii="宋体" w:eastAsia="宋体" w:hAnsi="宋体" w:cs="Times New Roman" w:hint="eastAsia"/>
          <w:b/>
          <w:bCs/>
          <w:szCs w:val="21"/>
          <w:u w:val="double"/>
        </w:rPr>
        <w:t>依据卫生医疗相关政策要求，帮助拘留场所建立完善的医疗体系，包括各类检查设备、检验设备、治疗设备、</w:t>
      </w:r>
      <w:r>
        <w:rPr>
          <w:rFonts w:ascii="宋体" w:eastAsia="宋体" w:hAnsi="宋体" w:cs="Times New Roman" w:hint="eastAsia"/>
          <w:b/>
          <w:bCs/>
          <w:szCs w:val="21"/>
          <w:u w:val="double"/>
          <w:lang w:val="en-US" w:eastAsia="zh-CN"/>
        </w:rPr>
        <w:t>急救</w:t>
      </w:r>
      <w:r>
        <w:rPr>
          <w:rFonts w:ascii="宋体" w:eastAsia="宋体" w:hAnsi="宋体" w:cs="Times New Roman" w:hint="eastAsia"/>
          <w:b/>
          <w:bCs/>
          <w:szCs w:val="21"/>
          <w:u w:val="double"/>
        </w:rPr>
        <w:t>设备、药品管理等。</w:t>
      </w:r>
      <w:r>
        <w:rPr>
          <w:rFonts w:ascii="宋体" w:eastAsia="宋体" w:hAnsi="宋体" w:cs="Times New Roman" w:hint="eastAsia"/>
          <w:b/>
          <w:bCs/>
          <w:szCs w:val="21"/>
          <w:u w:val="double"/>
          <w:lang w:val="en-US" w:eastAsia="zh-CN"/>
        </w:rPr>
        <w:t>中标供应商需配齐门诊部所需医疗设备，所需耗材由中标供应商自负。</w:t>
      </w:r>
    </w:p>
    <w:p>
      <w:pPr>
        <w:spacing w:line="360" w:lineRule="auto"/>
        <w:ind w:firstLine="420" w:firstLineChars="200"/>
        <w:jc w:val="left"/>
        <w:rPr>
          <w:rFonts w:ascii="宋体" w:eastAsia="宋体" w:hAnsi="宋体" w:cs="Times New Roman" w:hint="eastAsia"/>
          <w:b/>
          <w:bCs/>
          <w:szCs w:val="21"/>
          <w:u w:val="double"/>
        </w:rPr>
      </w:pPr>
      <w:r>
        <w:rPr>
          <w:rFonts w:ascii="宋体" w:eastAsia="宋体" w:hAnsi="宋体" w:cs="Times New Roman" w:hint="eastAsia"/>
          <w:b/>
          <w:bCs/>
          <w:szCs w:val="21"/>
          <w:u w:val="double"/>
          <w:lang w:val="en-US" w:eastAsia="zh-CN"/>
        </w:rPr>
        <w:t>2.</w:t>
      </w:r>
      <w:r>
        <w:rPr>
          <w:rFonts w:ascii="宋体" w:hAnsi="宋体" w:cs="Times New Roman" w:hint="eastAsia"/>
          <w:b/>
          <w:bCs/>
          <w:szCs w:val="21"/>
          <w:u w:val="double"/>
          <w:lang w:val="en-US" w:eastAsia="zh-CN"/>
        </w:rPr>
        <w:t>8</w:t>
      </w:r>
      <w:r>
        <w:rPr>
          <w:rFonts w:ascii="宋体" w:eastAsia="宋体" w:hAnsi="宋体" w:cs="Times New Roman" w:hint="eastAsia"/>
          <w:b/>
          <w:bCs/>
          <w:szCs w:val="21"/>
          <w:u w:val="double"/>
          <w:lang w:eastAsia="zh-CN"/>
        </w:rPr>
        <w:t>中标供应商</w:t>
      </w:r>
      <w:r>
        <w:rPr>
          <w:rFonts w:ascii="宋体" w:eastAsia="宋体" w:hAnsi="宋体" w:cs="Times New Roman" w:hint="eastAsia"/>
          <w:b/>
          <w:bCs/>
          <w:szCs w:val="21"/>
          <w:u w:val="double"/>
        </w:rPr>
        <w:t>驻所医务人员应协助拘留所开展所内就医登记、被拘留人员信息标注、诊断评估等工作，按规定做好被拘留人员的医疗</w:t>
      </w:r>
      <w:r>
        <w:rPr>
          <w:rFonts w:ascii="宋体" w:eastAsia="宋体" w:hAnsi="宋体" w:cs="Times New Roman" w:hint="eastAsia"/>
          <w:b/>
          <w:bCs/>
          <w:szCs w:val="21"/>
          <w:u w:val="double"/>
          <w:lang w:val="en-US" w:eastAsia="zh-CN"/>
        </w:rPr>
        <w:t>病历及</w:t>
      </w:r>
      <w:r>
        <w:rPr>
          <w:rFonts w:ascii="宋体" w:eastAsia="宋体" w:hAnsi="宋体" w:cs="Times New Roman" w:hint="eastAsia"/>
          <w:b/>
          <w:bCs/>
          <w:szCs w:val="21"/>
          <w:u w:val="double"/>
        </w:rPr>
        <w:t>档案</w:t>
      </w:r>
      <w:r>
        <w:rPr>
          <w:rFonts w:ascii="宋体" w:hAnsi="宋体" w:cs="Times New Roman" w:hint="eastAsia"/>
          <w:b/>
          <w:bCs/>
          <w:szCs w:val="21"/>
          <w:u w:val="double"/>
          <w:lang w:eastAsia="zh-CN"/>
        </w:rPr>
        <w:t>，</w:t>
      </w:r>
      <w:r>
        <w:rPr>
          <w:rFonts w:ascii="宋体" w:hAnsi="宋体" w:cs="Times New Roman" w:hint="eastAsia"/>
          <w:b/>
          <w:bCs/>
          <w:szCs w:val="21"/>
          <w:u w:val="double"/>
          <w:lang w:val="en-US" w:eastAsia="zh-CN"/>
        </w:rPr>
        <w:t>采购人须提供必要的帮助</w:t>
      </w:r>
      <w:r>
        <w:rPr>
          <w:rFonts w:ascii="宋体" w:eastAsia="宋体" w:hAnsi="宋体" w:cs="Times New Roman" w:hint="eastAsia"/>
          <w:b/>
          <w:bCs/>
          <w:szCs w:val="21"/>
          <w:u w:val="double"/>
        </w:rPr>
        <w:t>。</w:t>
      </w:r>
    </w:p>
    <w:p>
      <w:pPr>
        <w:spacing w:line="360" w:lineRule="auto"/>
        <w:ind w:firstLine="420" w:firstLineChars="200"/>
        <w:jc w:val="left"/>
        <w:rPr>
          <w:rFonts w:ascii="宋体" w:eastAsia="宋体" w:hAnsi="宋体" w:cs="Times New Roman" w:hint="eastAsia"/>
          <w:b/>
          <w:bCs/>
          <w:szCs w:val="21"/>
          <w:u w:val="double"/>
          <w:lang w:eastAsia="zh-CN"/>
        </w:rPr>
      </w:pPr>
      <w:r>
        <w:rPr>
          <w:rFonts w:ascii="宋体" w:eastAsia="宋体" w:hAnsi="宋体" w:cs="Times New Roman" w:hint="eastAsia"/>
          <w:b/>
          <w:bCs/>
          <w:szCs w:val="21"/>
          <w:u w:val="double"/>
          <w:lang w:val="en-US" w:eastAsia="zh-CN"/>
        </w:rPr>
        <w:t>2.</w:t>
      </w:r>
      <w:r>
        <w:rPr>
          <w:rFonts w:ascii="宋体" w:hAnsi="宋体" w:cs="Times New Roman" w:hint="eastAsia"/>
          <w:b/>
          <w:bCs/>
          <w:szCs w:val="21"/>
          <w:u w:val="double"/>
          <w:lang w:val="en-US" w:eastAsia="zh-CN"/>
        </w:rPr>
        <w:t>9</w:t>
      </w:r>
      <w:r>
        <w:rPr>
          <w:rFonts w:ascii="宋体" w:eastAsia="宋体" w:hAnsi="宋体" w:cs="Times New Roman" w:hint="eastAsia"/>
          <w:b/>
          <w:bCs/>
          <w:szCs w:val="21"/>
          <w:u w:val="double"/>
          <w:lang w:eastAsia="zh-CN"/>
        </w:rPr>
        <w:t>中标供应商</w:t>
      </w:r>
      <w:r>
        <w:rPr>
          <w:rFonts w:ascii="宋体" w:eastAsia="宋体" w:hAnsi="宋体" w:cs="Times New Roman" w:hint="eastAsia"/>
          <w:b/>
          <w:bCs/>
          <w:szCs w:val="21"/>
          <w:u w:val="double"/>
        </w:rPr>
        <w:t>做好拘留所的疾病防控工作。针对拘留区域可能出现的流行性或传染性疾病，及时提出预防措施和方案，并在发现后立即上报拘留所以及相关部门，按规定落实好拘留所疾病防控工作</w:t>
      </w:r>
      <w:r>
        <w:rPr>
          <w:rFonts w:ascii="宋体" w:eastAsia="宋体" w:hAnsi="宋体" w:cs="Times New Roman" w:hint="eastAsia"/>
          <w:b/>
          <w:bCs/>
          <w:szCs w:val="21"/>
          <w:u w:val="double"/>
          <w:lang w:eastAsia="zh-CN"/>
        </w:rPr>
        <w:t>。</w:t>
      </w:r>
    </w:p>
    <w:p>
      <w:pPr>
        <w:spacing w:line="360" w:lineRule="auto"/>
        <w:ind w:firstLine="420" w:firstLineChars="200"/>
        <w:jc w:val="left"/>
        <w:rPr>
          <w:rFonts w:ascii="宋体" w:eastAsia="宋体" w:hAnsi="宋体" w:cs="Times New Roman" w:hint="eastAsia"/>
          <w:b/>
          <w:bCs/>
          <w:szCs w:val="21"/>
          <w:u w:val="double"/>
          <w:lang w:eastAsia="zh-CN"/>
        </w:rPr>
      </w:pPr>
      <w:r>
        <w:rPr>
          <w:rFonts w:ascii="宋体" w:eastAsia="宋体" w:hAnsi="宋体" w:cs="Times New Roman" w:hint="eastAsia"/>
          <w:b/>
          <w:bCs/>
          <w:szCs w:val="21"/>
          <w:u w:val="double"/>
          <w:lang w:val="en-US" w:eastAsia="zh-CN"/>
        </w:rPr>
        <w:t>2.</w:t>
      </w:r>
      <w:r>
        <w:rPr>
          <w:rFonts w:ascii="宋体" w:hAnsi="宋体" w:cs="Times New Roman" w:hint="eastAsia"/>
          <w:b/>
          <w:bCs/>
          <w:szCs w:val="21"/>
          <w:u w:val="double"/>
          <w:lang w:val="en-US" w:eastAsia="zh-CN"/>
        </w:rPr>
        <w:t>10</w:t>
      </w:r>
      <w:r>
        <w:rPr>
          <w:rFonts w:ascii="宋体" w:eastAsia="宋体" w:hAnsi="宋体" w:cs="Times New Roman" w:hint="eastAsia"/>
          <w:b/>
          <w:bCs/>
          <w:szCs w:val="21"/>
          <w:u w:val="double"/>
          <w:lang w:eastAsia="zh-CN"/>
        </w:rPr>
        <w:t>中标供应商</w:t>
      </w:r>
      <w:r>
        <w:rPr>
          <w:rFonts w:ascii="宋体" w:eastAsia="宋体" w:hAnsi="宋体" w:cs="Times New Roman" w:hint="eastAsia"/>
          <w:b/>
          <w:bCs/>
          <w:szCs w:val="21"/>
          <w:u w:val="double"/>
        </w:rPr>
        <w:t>根据实际需要定期对</w:t>
      </w:r>
      <w:r>
        <w:rPr>
          <w:rFonts w:ascii="宋体" w:eastAsia="宋体" w:hAnsi="宋体" w:cs="Times New Roman" w:hint="eastAsia"/>
          <w:b/>
          <w:bCs/>
          <w:szCs w:val="21"/>
          <w:u w:val="double"/>
          <w:lang w:val="en-US" w:eastAsia="zh-CN"/>
        </w:rPr>
        <w:t>拘留</w:t>
      </w:r>
      <w:r>
        <w:rPr>
          <w:rFonts w:ascii="宋体" w:eastAsia="宋体" w:hAnsi="宋体" w:cs="Times New Roman" w:hint="eastAsia"/>
          <w:b/>
          <w:bCs/>
          <w:szCs w:val="21"/>
          <w:u w:val="double"/>
        </w:rPr>
        <w:t>所民警进行急救等业务的医疗培训</w:t>
      </w:r>
      <w:r>
        <w:rPr>
          <w:rFonts w:ascii="宋体" w:eastAsia="宋体" w:hAnsi="宋体" w:cs="Times New Roman" w:hint="eastAsia"/>
          <w:b/>
          <w:bCs/>
          <w:szCs w:val="21"/>
          <w:u w:val="double"/>
          <w:lang w:eastAsia="zh-CN"/>
        </w:rPr>
        <w:t>；</w:t>
      </w:r>
      <w:r>
        <w:rPr>
          <w:rFonts w:ascii="宋体" w:eastAsia="宋体" w:hAnsi="宋体" w:cs="Times New Roman" w:hint="eastAsia"/>
          <w:b/>
          <w:bCs/>
          <w:szCs w:val="21"/>
          <w:u w:val="double"/>
        </w:rPr>
        <w:t>每季度对民警和</w:t>
      </w:r>
      <w:r>
        <w:rPr>
          <w:rFonts w:ascii="宋体" w:hAnsi="宋体" w:cs="Times New Roman" w:hint="eastAsia"/>
          <w:b/>
          <w:bCs/>
          <w:szCs w:val="21"/>
          <w:u w:val="double"/>
          <w:lang w:val="en-US" w:eastAsia="zh-CN"/>
        </w:rPr>
        <w:t>工作</w:t>
      </w:r>
      <w:r>
        <w:rPr>
          <w:rFonts w:ascii="宋体" w:eastAsia="宋体" w:hAnsi="宋体" w:cs="Times New Roman" w:hint="eastAsia"/>
          <w:b/>
          <w:bCs/>
          <w:szCs w:val="21"/>
          <w:u w:val="double"/>
        </w:rPr>
        <w:t>人员开展常见协作医院疾病的预防和发现等医学常识方面的培训不少于一次</w:t>
      </w:r>
      <w:r>
        <w:rPr>
          <w:rFonts w:ascii="宋体" w:eastAsia="宋体" w:hAnsi="宋体" w:cs="Times New Roman" w:hint="eastAsia"/>
          <w:b/>
          <w:bCs/>
          <w:szCs w:val="21"/>
          <w:u w:val="double"/>
          <w:lang w:eastAsia="zh-CN"/>
        </w:rPr>
        <w:t>；</w:t>
      </w:r>
      <w:r>
        <w:rPr>
          <w:rFonts w:ascii="宋体" w:eastAsia="宋体" w:hAnsi="宋体" w:cs="Times New Roman" w:hint="eastAsia"/>
          <w:b/>
          <w:bCs/>
          <w:szCs w:val="21"/>
          <w:u w:val="double"/>
        </w:rPr>
        <w:t>每半年就拘留场所常见疾病的日常治疗和危重疾病的紧急处置等医学知识进行培训。</w:t>
      </w:r>
    </w:p>
    <w:p>
      <w:pPr>
        <w:spacing w:line="360" w:lineRule="auto"/>
        <w:ind w:firstLine="420" w:firstLineChars="200"/>
        <w:jc w:val="left"/>
        <w:rPr>
          <w:rFonts w:ascii="宋体" w:eastAsia="宋体" w:hAnsi="宋体" w:cs="Times New Roman" w:hint="eastAsia"/>
          <w:b/>
          <w:bCs/>
          <w:szCs w:val="21"/>
          <w:u w:val="double"/>
        </w:rPr>
      </w:pPr>
      <w:r>
        <w:rPr>
          <w:rFonts w:ascii="宋体" w:eastAsia="宋体" w:hAnsi="宋体" w:cs="Times New Roman" w:hint="eastAsia"/>
          <w:b/>
          <w:bCs/>
          <w:szCs w:val="21"/>
          <w:u w:val="double"/>
          <w:lang w:val="en-US" w:eastAsia="zh-CN"/>
        </w:rPr>
        <w:t>2.1</w:t>
      </w:r>
      <w:r>
        <w:rPr>
          <w:rFonts w:ascii="宋体" w:hAnsi="宋体" w:cs="Times New Roman" w:hint="eastAsia"/>
          <w:b/>
          <w:bCs/>
          <w:szCs w:val="21"/>
          <w:u w:val="double"/>
          <w:lang w:val="en-US" w:eastAsia="zh-CN"/>
        </w:rPr>
        <w:t>1</w:t>
      </w:r>
      <w:r>
        <w:rPr>
          <w:rFonts w:ascii="宋体" w:eastAsia="宋体" w:hAnsi="宋体" w:cs="Times New Roman" w:hint="eastAsia"/>
          <w:b/>
          <w:bCs/>
          <w:szCs w:val="21"/>
          <w:u w:val="double"/>
          <w:lang w:eastAsia="zh-CN"/>
        </w:rPr>
        <w:t>中标供应商</w:t>
      </w:r>
      <w:r>
        <w:rPr>
          <w:rFonts w:ascii="宋体" w:eastAsia="宋体" w:hAnsi="宋体" w:cs="Times New Roman" w:hint="eastAsia"/>
          <w:b/>
          <w:bCs/>
          <w:szCs w:val="21"/>
          <w:u w:val="double"/>
        </w:rPr>
        <w:t>配合拘留所建立医护人员</w:t>
      </w:r>
      <w:r>
        <w:rPr>
          <w:rFonts w:ascii="宋体" w:hAnsi="宋体" w:cs="Times New Roman" w:hint="eastAsia"/>
          <w:b/>
          <w:bCs/>
          <w:szCs w:val="21"/>
          <w:u w:val="double"/>
          <w:lang w:val="en-US" w:eastAsia="zh-CN"/>
        </w:rPr>
        <w:t>日常管理</w:t>
      </w:r>
      <w:r>
        <w:rPr>
          <w:rFonts w:ascii="宋体" w:eastAsia="宋体" w:hAnsi="宋体" w:cs="Times New Roman" w:hint="eastAsia"/>
          <w:b/>
          <w:bCs/>
          <w:szCs w:val="21"/>
          <w:u w:val="double"/>
        </w:rPr>
        <w:t>考核制度。</w:t>
      </w:r>
    </w:p>
    <w:p>
      <w:pPr>
        <w:spacing w:line="360" w:lineRule="auto"/>
        <w:ind w:firstLine="420" w:firstLineChars="200"/>
        <w:jc w:val="left"/>
        <w:rPr>
          <w:rFonts w:ascii="宋体" w:eastAsia="宋体" w:hAnsi="宋体" w:cs="Times New Roman" w:hint="eastAsia"/>
          <w:b/>
          <w:bCs/>
          <w:szCs w:val="21"/>
          <w:u w:val="double"/>
          <w:lang w:val="en-US"/>
        </w:rPr>
      </w:pPr>
      <w:r>
        <w:rPr>
          <w:rFonts w:ascii="宋体" w:eastAsia="宋体" w:hAnsi="宋体" w:cs="Times New Roman" w:hint="eastAsia"/>
          <w:b/>
          <w:bCs/>
          <w:szCs w:val="21"/>
          <w:u w:val="double"/>
          <w:lang w:val="en-US" w:eastAsia="zh-CN"/>
        </w:rPr>
        <w:t>2.1</w:t>
      </w:r>
      <w:r>
        <w:rPr>
          <w:rFonts w:ascii="宋体" w:hAnsi="宋体" w:cs="Times New Roman" w:hint="eastAsia"/>
          <w:b/>
          <w:bCs/>
          <w:szCs w:val="21"/>
          <w:u w:val="double"/>
          <w:lang w:val="en-US" w:eastAsia="zh-CN"/>
        </w:rPr>
        <w:t>2</w:t>
      </w:r>
      <w:r>
        <w:rPr>
          <w:rFonts w:ascii="宋体" w:eastAsia="宋体" w:hAnsi="宋体" w:cs="Times New Roman" w:hint="eastAsia"/>
          <w:b/>
          <w:bCs/>
          <w:szCs w:val="21"/>
          <w:u w:val="double"/>
          <w:lang w:eastAsia="zh-CN"/>
        </w:rPr>
        <w:t>中标供应商</w:t>
      </w:r>
      <w:r>
        <w:rPr>
          <w:rFonts w:ascii="宋体" w:eastAsia="宋体" w:hAnsi="宋体" w:cs="Times New Roman" w:hint="eastAsia"/>
          <w:b/>
          <w:bCs/>
          <w:szCs w:val="21"/>
          <w:u w:val="double"/>
        </w:rPr>
        <w:t>对药品的管理、使用负责，建立完善的药品储存、保管、使用的</w:t>
      </w:r>
      <w:r>
        <w:rPr>
          <w:rFonts w:ascii="宋体" w:eastAsia="宋体" w:hAnsi="宋体" w:cs="Times New Roman" w:hint="eastAsia"/>
          <w:b/>
          <w:bCs/>
          <w:szCs w:val="21"/>
          <w:u w:val="double"/>
          <w:lang w:val="en-US" w:eastAsia="zh-CN"/>
        </w:rPr>
        <w:t>管理</w:t>
      </w:r>
      <w:r>
        <w:rPr>
          <w:rFonts w:ascii="宋体" w:eastAsia="宋体" w:hAnsi="宋体" w:cs="Times New Roman" w:hint="eastAsia"/>
          <w:b/>
          <w:bCs/>
          <w:szCs w:val="21"/>
          <w:u w:val="double"/>
        </w:rPr>
        <w:t>制度，并建立相应的台账</w:t>
      </w:r>
      <w:r>
        <w:rPr>
          <w:rFonts w:ascii="宋体" w:eastAsia="宋体" w:hAnsi="宋体" w:cs="Times New Roman" w:hint="eastAsia"/>
          <w:b/>
          <w:bCs/>
          <w:szCs w:val="21"/>
          <w:u w:val="double"/>
          <w:lang w:val="en-US" w:eastAsia="zh-CN"/>
        </w:rPr>
        <w:t>备查，</w:t>
      </w:r>
      <w:r>
        <w:rPr>
          <w:rFonts w:ascii="宋体" w:hAnsi="宋体" w:cs="Times New Roman" w:hint="eastAsia"/>
          <w:b/>
          <w:bCs/>
          <w:szCs w:val="21"/>
          <w:u w:val="double"/>
          <w:lang w:val="en-US" w:eastAsia="zh-CN"/>
        </w:rPr>
        <w:t>中标供应商</w:t>
      </w:r>
      <w:r>
        <w:rPr>
          <w:rFonts w:ascii="宋体" w:eastAsia="宋体" w:hAnsi="宋体" w:cs="Times New Roman" w:hint="eastAsia"/>
          <w:b/>
          <w:bCs/>
          <w:szCs w:val="21"/>
          <w:u w:val="double"/>
          <w:lang w:val="en-US" w:eastAsia="zh-CN"/>
        </w:rPr>
        <w:t>对诊疗所需药品储备量进行建议，其他所需耗材由中标供应商负责。</w:t>
      </w:r>
      <w:r>
        <w:rPr>
          <w:rFonts w:ascii="宋体" w:eastAsia="宋体" w:hAnsi="宋体" w:cs="Times New Roman" w:hint="eastAsia"/>
          <w:b/>
          <w:bCs/>
          <w:szCs w:val="21"/>
          <w:u w:val="double"/>
        </w:rPr>
        <w:t>在监所内开设门诊药房，中标供应商负责药品的保管、使用和</w:t>
      </w:r>
      <w:r>
        <w:rPr>
          <w:rFonts w:ascii="宋体" w:eastAsia="宋体" w:hAnsi="宋体" w:cs="Times New Roman" w:hint="eastAsia"/>
          <w:b/>
          <w:bCs/>
          <w:szCs w:val="21"/>
          <w:u w:val="double"/>
          <w:lang w:val="en-US"/>
        </w:rPr>
        <w:t>药品质量的监督</w:t>
      </w:r>
      <w:r>
        <w:rPr>
          <w:rFonts w:ascii="宋体" w:eastAsia="宋体" w:hAnsi="宋体" w:cs="Times New Roman" w:hint="eastAsia"/>
          <w:b/>
          <w:bCs/>
          <w:szCs w:val="21"/>
          <w:u w:val="double"/>
        </w:rPr>
        <w:t>，并向采购人</w:t>
      </w:r>
      <w:r>
        <w:rPr>
          <w:rFonts w:ascii="宋体" w:eastAsia="宋体" w:hAnsi="宋体" w:cs="Times New Roman" w:hint="eastAsia"/>
          <w:b/>
          <w:bCs/>
          <w:szCs w:val="21"/>
          <w:u w:val="double"/>
          <w:lang w:val="en-US"/>
        </w:rPr>
        <w:t>提供药品集采中标供应商名单。药品的采购由</w:t>
      </w:r>
      <w:r>
        <w:rPr>
          <w:rFonts w:ascii="宋体" w:eastAsia="宋体" w:hAnsi="宋体" w:cs="Times New Roman" w:hint="eastAsia"/>
          <w:b/>
          <w:bCs/>
          <w:szCs w:val="21"/>
          <w:u w:val="double"/>
        </w:rPr>
        <w:t>中标供应商提采购需求（</w:t>
      </w:r>
      <w:r>
        <w:rPr>
          <w:rFonts w:ascii="宋体" w:eastAsia="宋体" w:hAnsi="宋体" w:cs="Times New Roman" w:hint="eastAsia"/>
          <w:b/>
          <w:bCs/>
          <w:szCs w:val="21"/>
          <w:u w:val="double"/>
          <w:lang w:val="en-US"/>
        </w:rPr>
        <w:t>所需药品须在市医保药品目录内，特殊药品中标供应商与采购人协商解决</w:t>
      </w:r>
      <w:r>
        <w:rPr>
          <w:rFonts w:ascii="宋体" w:eastAsia="宋体" w:hAnsi="宋体" w:cs="Times New Roman" w:hint="eastAsia"/>
          <w:b/>
          <w:bCs/>
          <w:szCs w:val="21"/>
          <w:u w:val="double"/>
        </w:rPr>
        <w:t>）</w:t>
      </w:r>
      <w:r>
        <w:rPr>
          <w:rFonts w:ascii="宋体" w:eastAsia="宋体" w:hAnsi="宋体" w:cs="Times New Roman" w:hint="eastAsia"/>
          <w:b/>
          <w:bCs/>
          <w:szCs w:val="21"/>
          <w:u w:val="double"/>
          <w:lang w:val="en-US"/>
        </w:rPr>
        <w:t>，采购人从药品集采中标供应商名单中自行选取供应商，药品费用由采购人支付。</w:t>
      </w:r>
    </w:p>
    <w:p>
      <w:pPr>
        <w:spacing w:line="360" w:lineRule="auto"/>
        <w:ind w:firstLine="420" w:firstLineChars="200"/>
        <w:jc w:val="left"/>
        <w:rPr>
          <w:rFonts w:ascii="宋体" w:eastAsia="宋体" w:hAnsi="宋体" w:cs="Times New Roman" w:hint="eastAsia"/>
          <w:b/>
          <w:bCs/>
          <w:szCs w:val="21"/>
          <w:u w:val="double"/>
          <w:lang w:eastAsia="zh-CN"/>
        </w:rPr>
      </w:pPr>
      <w:r>
        <w:rPr>
          <w:rFonts w:ascii="宋体" w:eastAsia="宋体" w:hAnsi="宋体" w:cs="Times New Roman" w:hint="eastAsia"/>
          <w:b/>
          <w:bCs/>
          <w:szCs w:val="21"/>
          <w:u w:val="double"/>
          <w:lang w:val="en-US" w:eastAsia="zh-CN"/>
        </w:rPr>
        <w:t>2.1</w:t>
      </w:r>
      <w:r>
        <w:rPr>
          <w:rFonts w:ascii="宋体" w:hAnsi="宋体" w:cs="Times New Roman" w:hint="eastAsia"/>
          <w:b/>
          <w:bCs/>
          <w:szCs w:val="21"/>
          <w:u w:val="double"/>
          <w:lang w:val="en-US" w:eastAsia="zh-CN"/>
        </w:rPr>
        <w:t>3</w:t>
      </w:r>
      <w:r>
        <w:rPr>
          <w:rFonts w:ascii="宋体" w:eastAsia="宋体" w:hAnsi="宋体" w:cs="Times New Roman" w:hint="eastAsia"/>
          <w:b/>
          <w:bCs/>
          <w:szCs w:val="21"/>
          <w:u w:val="double"/>
          <w:lang w:eastAsia="zh-CN"/>
        </w:rPr>
        <w:t>中标供应商</w:t>
      </w:r>
      <w:r>
        <w:rPr>
          <w:rFonts w:ascii="宋体" w:eastAsia="宋体" w:hAnsi="宋体" w:cs="Times New Roman" w:hint="eastAsia"/>
          <w:b/>
          <w:bCs/>
          <w:szCs w:val="21"/>
          <w:u w:val="double"/>
        </w:rPr>
        <w:t>配合拘留</w:t>
      </w:r>
      <w:r>
        <w:rPr>
          <w:rFonts w:ascii="宋体" w:eastAsia="宋体" w:hAnsi="宋体" w:cs="Times New Roman" w:hint="eastAsia"/>
          <w:b/>
          <w:bCs/>
          <w:szCs w:val="21"/>
          <w:u w:val="double"/>
          <w:lang w:val="en-US" w:eastAsia="zh-CN"/>
        </w:rPr>
        <w:t>所上级</w:t>
      </w:r>
      <w:r>
        <w:rPr>
          <w:rFonts w:ascii="宋体" w:hAnsi="宋体" w:cs="Times New Roman" w:hint="eastAsia"/>
          <w:b/>
          <w:bCs/>
          <w:szCs w:val="21"/>
          <w:u w:val="double"/>
          <w:lang w:val="en-US" w:eastAsia="zh-CN"/>
        </w:rPr>
        <w:t>监管部门</w:t>
      </w:r>
      <w:r>
        <w:rPr>
          <w:rFonts w:ascii="宋体" w:eastAsia="宋体" w:hAnsi="宋体" w:cs="Times New Roman" w:hint="eastAsia"/>
          <w:b/>
          <w:bCs/>
          <w:szCs w:val="21"/>
          <w:u w:val="double"/>
        </w:rPr>
        <w:t>开展其他拘留所医疗防控</w:t>
      </w:r>
      <w:r>
        <w:rPr>
          <w:rFonts w:ascii="宋体" w:hAnsi="宋体" w:cs="Times New Roman" w:hint="eastAsia"/>
          <w:b/>
          <w:bCs/>
          <w:szCs w:val="21"/>
          <w:u w:val="double"/>
          <w:lang w:eastAsia="zh-CN"/>
        </w:rPr>
        <w:t>、</w:t>
      </w:r>
      <w:r>
        <w:rPr>
          <w:rFonts w:ascii="宋体" w:hAnsi="宋体" w:cs="Times New Roman" w:hint="eastAsia"/>
          <w:b/>
          <w:bCs/>
          <w:szCs w:val="21"/>
          <w:u w:val="double"/>
          <w:lang w:val="en-US" w:eastAsia="zh-CN"/>
        </w:rPr>
        <w:t>学习、会议、医疗方案制定和落实等</w:t>
      </w:r>
      <w:r>
        <w:rPr>
          <w:rFonts w:ascii="宋体" w:eastAsia="宋体" w:hAnsi="宋体" w:cs="Times New Roman" w:hint="eastAsia"/>
          <w:b/>
          <w:bCs/>
          <w:szCs w:val="21"/>
          <w:u w:val="double"/>
        </w:rPr>
        <w:t>工作</w:t>
      </w:r>
      <w:r>
        <w:rPr>
          <w:rFonts w:ascii="宋体" w:eastAsia="宋体" w:hAnsi="宋体" w:cs="Times New Roman" w:hint="eastAsia"/>
          <w:b/>
          <w:bCs/>
          <w:szCs w:val="21"/>
          <w:u w:val="double"/>
          <w:lang w:eastAsia="zh-CN"/>
        </w:rPr>
        <w:t>。</w:t>
      </w:r>
    </w:p>
    <w:p>
      <w:pPr>
        <w:spacing w:line="360" w:lineRule="auto"/>
        <w:ind w:firstLine="420" w:firstLineChars="200"/>
        <w:jc w:val="left"/>
        <w:rPr>
          <w:rFonts w:ascii="宋体" w:eastAsia="宋体" w:hAnsi="宋体" w:cs="Times New Roman" w:hint="eastAsia"/>
          <w:b/>
          <w:bCs/>
          <w:szCs w:val="21"/>
          <w:highlight w:val="yellow"/>
          <w:u w:val="double"/>
        </w:rPr>
      </w:pPr>
      <w:r>
        <w:rPr>
          <w:rFonts w:ascii="宋体" w:hAnsi="宋体" w:cs="Times New Roman" w:hint="eastAsia"/>
          <w:b/>
          <w:bCs/>
          <w:szCs w:val="21"/>
          <w:highlight w:val="yellow"/>
          <w:u w:val="double"/>
          <w:lang w:val="en-US" w:eastAsia="zh-CN"/>
        </w:rPr>
        <w:t>★</w:t>
      </w:r>
      <w:r>
        <w:rPr>
          <w:rFonts w:ascii="宋体" w:eastAsia="宋体" w:hAnsi="宋体" w:cs="Times New Roman" w:hint="eastAsia"/>
          <w:b/>
          <w:bCs/>
          <w:szCs w:val="21"/>
          <w:highlight w:val="yellow"/>
          <w:u w:val="double"/>
          <w:lang w:val="en-US" w:eastAsia="zh-CN"/>
        </w:rPr>
        <w:t>2.1</w:t>
      </w:r>
      <w:r>
        <w:rPr>
          <w:rFonts w:ascii="宋体" w:hAnsi="宋体" w:cs="Times New Roman" w:hint="eastAsia"/>
          <w:b/>
          <w:bCs/>
          <w:szCs w:val="21"/>
          <w:highlight w:val="yellow"/>
          <w:u w:val="double"/>
          <w:lang w:val="en-US" w:eastAsia="zh-CN"/>
        </w:rPr>
        <w:t>4</w:t>
      </w:r>
      <w:r>
        <w:rPr>
          <w:rFonts w:ascii="宋体" w:eastAsia="宋体" w:hAnsi="宋体" w:cs="Times New Roman" w:hint="eastAsia"/>
          <w:b/>
          <w:bCs/>
          <w:szCs w:val="21"/>
          <w:highlight w:val="yellow"/>
          <w:u w:val="double"/>
          <w:lang w:eastAsia="zh-CN"/>
        </w:rPr>
        <w:t>中标供应商</w:t>
      </w:r>
      <w:r>
        <w:rPr>
          <w:rFonts w:ascii="宋体" w:eastAsia="宋体" w:hAnsi="宋体" w:cs="Times New Roman" w:hint="eastAsia"/>
          <w:b/>
          <w:bCs/>
          <w:szCs w:val="21"/>
          <w:highlight w:val="yellow"/>
          <w:u w:val="double"/>
        </w:rPr>
        <w:t>负责医疗</w:t>
      </w:r>
      <w:r>
        <w:rPr>
          <w:rFonts w:ascii="宋体" w:eastAsia="宋体" w:hAnsi="宋体" w:cs="Times New Roman" w:hint="eastAsia"/>
          <w:b/>
          <w:bCs/>
          <w:szCs w:val="21"/>
          <w:highlight w:val="yellow"/>
          <w:u w:val="double"/>
          <w:lang w:eastAsia="zh-CN"/>
        </w:rPr>
        <w:t>及传染病</w:t>
      </w:r>
      <w:r>
        <w:rPr>
          <w:rFonts w:ascii="宋体" w:eastAsia="宋体" w:hAnsi="宋体" w:cs="Times New Roman" w:hint="eastAsia"/>
          <w:b/>
          <w:bCs/>
          <w:szCs w:val="21"/>
          <w:highlight w:val="yellow"/>
          <w:u w:val="double"/>
        </w:rPr>
        <w:t>垃圾处理等费用。</w:t>
      </w:r>
    </w:p>
    <w:p>
      <w:pPr>
        <w:spacing w:line="360" w:lineRule="auto"/>
        <w:ind w:firstLine="420" w:firstLineChars="200"/>
        <w:jc w:val="left"/>
        <w:rPr>
          <w:rFonts w:ascii="宋体" w:eastAsia="宋体" w:hAnsi="宋体" w:cs="Times New Roman" w:hint="eastAsia"/>
          <w:b/>
          <w:bCs/>
          <w:szCs w:val="21"/>
          <w:u w:val="double"/>
        </w:rPr>
      </w:pPr>
      <w:r>
        <w:rPr>
          <w:rFonts w:ascii="宋体" w:eastAsia="宋体" w:hAnsi="宋体" w:cs="Times New Roman" w:hint="eastAsia"/>
          <w:b/>
          <w:bCs/>
          <w:szCs w:val="21"/>
          <w:u w:val="double"/>
          <w:lang w:val="en-US" w:eastAsia="zh-CN"/>
        </w:rPr>
        <w:t>2.1</w:t>
      </w:r>
      <w:r>
        <w:rPr>
          <w:rFonts w:ascii="宋体" w:hAnsi="宋体" w:cs="Times New Roman" w:hint="eastAsia"/>
          <w:b/>
          <w:bCs/>
          <w:szCs w:val="21"/>
          <w:u w:val="double"/>
          <w:lang w:val="en-US" w:eastAsia="zh-CN"/>
        </w:rPr>
        <w:t>5</w:t>
      </w:r>
      <w:r>
        <w:rPr>
          <w:rFonts w:ascii="宋体" w:eastAsia="宋体" w:hAnsi="宋体" w:cs="Times New Roman" w:hint="eastAsia"/>
          <w:b/>
          <w:bCs/>
          <w:szCs w:val="21"/>
          <w:u w:val="double"/>
        </w:rPr>
        <w:t>凡属</w:t>
      </w:r>
      <w:r>
        <w:rPr>
          <w:rFonts w:ascii="宋体" w:eastAsia="宋体" w:hAnsi="宋体" w:cs="Times New Roman" w:hint="eastAsia"/>
          <w:b/>
          <w:bCs/>
          <w:szCs w:val="21"/>
          <w:u w:val="double"/>
          <w:lang w:eastAsia="zh-CN"/>
        </w:rPr>
        <w:t>采购人</w:t>
      </w:r>
      <w:r>
        <w:rPr>
          <w:rFonts w:ascii="宋体" w:eastAsia="宋体" w:hAnsi="宋体" w:cs="Times New Roman" w:hint="eastAsia"/>
          <w:b/>
          <w:bCs/>
          <w:szCs w:val="21"/>
          <w:u w:val="double"/>
        </w:rPr>
        <w:t>资金购买的设备和物资纳入</w:t>
      </w:r>
      <w:r>
        <w:rPr>
          <w:rFonts w:ascii="宋体" w:eastAsia="宋体" w:hAnsi="宋体" w:cs="Times New Roman" w:hint="eastAsia"/>
          <w:b/>
          <w:bCs/>
          <w:szCs w:val="21"/>
          <w:u w:val="double"/>
          <w:lang w:eastAsia="zh-CN"/>
        </w:rPr>
        <w:t>采购人</w:t>
      </w:r>
      <w:r>
        <w:rPr>
          <w:rFonts w:ascii="宋体" w:eastAsia="宋体" w:hAnsi="宋体" w:cs="Times New Roman" w:hint="eastAsia"/>
          <w:b/>
          <w:bCs/>
          <w:szCs w:val="21"/>
          <w:u w:val="double"/>
        </w:rPr>
        <w:t>的固定资产进行管理。合作终止后，由</w:t>
      </w:r>
      <w:r>
        <w:rPr>
          <w:rFonts w:ascii="宋体" w:eastAsia="宋体" w:hAnsi="宋体" w:cs="Times New Roman" w:hint="eastAsia"/>
          <w:b/>
          <w:bCs/>
          <w:szCs w:val="21"/>
          <w:u w:val="double"/>
          <w:lang w:eastAsia="zh-CN"/>
        </w:rPr>
        <w:t>采购人</w:t>
      </w:r>
      <w:r>
        <w:rPr>
          <w:rFonts w:ascii="宋体" w:eastAsia="宋体" w:hAnsi="宋体" w:cs="Times New Roman" w:hint="eastAsia"/>
          <w:b/>
          <w:bCs/>
          <w:szCs w:val="21"/>
          <w:u w:val="double"/>
        </w:rPr>
        <w:t>出资购买的设备设施归</w:t>
      </w:r>
      <w:r>
        <w:rPr>
          <w:rFonts w:ascii="宋体" w:eastAsia="宋体" w:hAnsi="宋体" w:cs="Times New Roman" w:hint="eastAsia"/>
          <w:b/>
          <w:bCs/>
          <w:szCs w:val="21"/>
          <w:u w:val="double"/>
          <w:lang w:eastAsia="zh-CN"/>
        </w:rPr>
        <w:t>采购人</w:t>
      </w:r>
      <w:r>
        <w:rPr>
          <w:rFonts w:ascii="宋体" w:eastAsia="宋体" w:hAnsi="宋体" w:cs="Times New Roman" w:hint="eastAsia"/>
          <w:b/>
          <w:bCs/>
          <w:szCs w:val="21"/>
          <w:u w:val="double"/>
        </w:rPr>
        <w:t>所有。</w:t>
      </w:r>
    </w:p>
    <w:p>
      <w:pPr>
        <w:spacing w:line="360" w:lineRule="auto"/>
        <w:ind w:firstLine="420" w:firstLineChars="200"/>
        <w:jc w:val="left"/>
        <w:rPr>
          <w:rFonts w:ascii="宋体" w:eastAsia="宋体" w:hAnsi="宋体" w:cs="Times New Roman" w:hint="eastAsia"/>
          <w:b/>
          <w:bCs/>
          <w:szCs w:val="21"/>
          <w:u w:val="double"/>
        </w:rPr>
      </w:pPr>
      <w:r>
        <w:rPr>
          <w:rFonts w:ascii="宋体" w:eastAsia="宋体" w:hAnsi="宋体" w:cs="Times New Roman" w:hint="eastAsia"/>
          <w:b/>
          <w:bCs/>
          <w:szCs w:val="21"/>
          <w:u w:val="double"/>
          <w:lang w:val="en-US" w:eastAsia="zh-CN"/>
        </w:rPr>
        <w:t>2.1</w:t>
      </w:r>
      <w:r>
        <w:rPr>
          <w:rFonts w:ascii="宋体" w:hAnsi="宋体" w:cs="Times New Roman" w:hint="eastAsia"/>
          <w:b/>
          <w:bCs/>
          <w:szCs w:val="21"/>
          <w:u w:val="double"/>
          <w:lang w:val="en-US" w:eastAsia="zh-CN"/>
        </w:rPr>
        <w:t>6</w:t>
      </w:r>
      <w:r>
        <w:rPr>
          <w:rFonts w:ascii="宋体" w:eastAsia="宋体" w:hAnsi="宋体" w:cs="Times New Roman" w:hint="eastAsia"/>
          <w:b/>
          <w:bCs/>
          <w:szCs w:val="21"/>
          <w:u w:val="double"/>
          <w:lang w:eastAsia="zh-CN"/>
        </w:rPr>
        <w:t>中标供应商</w:t>
      </w:r>
      <w:r>
        <w:rPr>
          <w:rFonts w:ascii="宋体" w:eastAsia="宋体" w:hAnsi="宋体" w:cs="Times New Roman" w:hint="eastAsia"/>
          <w:b/>
          <w:bCs/>
          <w:szCs w:val="21"/>
          <w:u w:val="double"/>
        </w:rPr>
        <w:t>负责拘留所医疗卫生及防控工作，一旦出现医患纠紛，双方共同处置，属于</w:t>
      </w:r>
      <w:r>
        <w:rPr>
          <w:rFonts w:ascii="宋体" w:eastAsia="宋体" w:hAnsi="宋体" w:cs="Times New Roman" w:hint="eastAsia"/>
          <w:b/>
          <w:bCs/>
          <w:szCs w:val="21"/>
          <w:u w:val="double"/>
          <w:lang w:eastAsia="zh-CN"/>
        </w:rPr>
        <w:t>中标供应商</w:t>
      </w:r>
      <w:r>
        <w:rPr>
          <w:rFonts w:ascii="宋体" w:eastAsia="宋体" w:hAnsi="宋体" w:cs="Times New Roman" w:hint="eastAsia"/>
          <w:b/>
          <w:bCs/>
          <w:szCs w:val="21"/>
          <w:u w:val="double"/>
        </w:rPr>
        <w:t>责任的，按相关法律法规承担相应责任。</w:t>
      </w:r>
    </w:p>
    <w:p>
      <w:pPr>
        <w:spacing w:line="360" w:lineRule="auto"/>
        <w:ind w:firstLine="420" w:firstLineChars="200"/>
        <w:jc w:val="left"/>
        <w:rPr>
          <w:rFonts w:ascii="宋体" w:eastAsia="宋体" w:hAnsi="宋体" w:cs="Times New Roman" w:hint="eastAsia"/>
          <w:b/>
          <w:bCs/>
          <w:szCs w:val="21"/>
          <w:u w:val="double"/>
        </w:rPr>
      </w:pPr>
      <w:r>
        <w:rPr>
          <w:rFonts w:ascii="宋体" w:eastAsia="宋体" w:hAnsi="宋体" w:cs="Times New Roman" w:hint="eastAsia"/>
          <w:b/>
          <w:bCs/>
          <w:szCs w:val="21"/>
          <w:u w:val="double"/>
          <w:lang w:val="en-US" w:eastAsia="zh-CN"/>
        </w:rPr>
        <w:t>2.1</w:t>
      </w:r>
      <w:r>
        <w:rPr>
          <w:rFonts w:ascii="宋体" w:hAnsi="宋体" w:cs="Times New Roman" w:hint="eastAsia"/>
          <w:b/>
          <w:bCs/>
          <w:szCs w:val="21"/>
          <w:u w:val="double"/>
          <w:lang w:val="en-US" w:eastAsia="zh-CN"/>
        </w:rPr>
        <w:t>7</w:t>
      </w:r>
      <w:r>
        <w:rPr>
          <w:rFonts w:ascii="宋体" w:eastAsia="宋体" w:hAnsi="宋体" w:cs="Times New Roman" w:hint="eastAsia"/>
          <w:b/>
          <w:bCs/>
          <w:szCs w:val="21"/>
          <w:u w:val="double"/>
          <w:lang w:eastAsia="zh-CN"/>
        </w:rPr>
        <w:t>中标供应商</w:t>
      </w:r>
      <w:r>
        <w:rPr>
          <w:rFonts w:ascii="宋体" w:eastAsia="宋体" w:hAnsi="宋体" w:cs="Times New Roman" w:hint="eastAsia"/>
          <w:b/>
          <w:bCs/>
          <w:szCs w:val="21"/>
          <w:u w:val="double"/>
        </w:rPr>
        <w:t>要按照规定选派医护人员驻所开展医疗服务，</w:t>
      </w:r>
      <w:r>
        <w:rPr>
          <w:rFonts w:ascii="宋体" w:eastAsia="宋体" w:hAnsi="宋体" w:cs="Times New Roman" w:hint="eastAsia"/>
          <w:b/>
          <w:bCs/>
          <w:szCs w:val="21"/>
          <w:u w:val="double"/>
          <w:lang w:val="en-US" w:eastAsia="zh-CN"/>
        </w:rPr>
        <w:t>派驻</w:t>
      </w:r>
      <w:r>
        <w:rPr>
          <w:rFonts w:ascii="宋体" w:eastAsia="宋体" w:hAnsi="宋体" w:cs="Times New Roman" w:hint="eastAsia"/>
          <w:b/>
          <w:bCs/>
          <w:szCs w:val="21"/>
          <w:u w:val="double"/>
        </w:rPr>
        <w:t>的医护人员需是本单位政治素质好、业务能力强，</w:t>
      </w:r>
      <w:r>
        <w:rPr>
          <w:rFonts w:ascii="宋体" w:eastAsia="宋体" w:hAnsi="宋体" w:cs="Times New Roman" w:hint="eastAsia"/>
          <w:b/>
          <w:bCs/>
          <w:szCs w:val="21"/>
          <w:u w:val="double"/>
          <w:lang w:val="en-US" w:eastAsia="zh-CN"/>
        </w:rPr>
        <w:t>有一定医疗工作处置经验，</w:t>
      </w:r>
      <w:r>
        <w:rPr>
          <w:rFonts w:ascii="宋体" w:eastAsia="宋体" w:hAnsi="宋体" w:cs="Times New Roman" w:hint="eastAsia"/>
          <w:b/>
          <w:bCs/>
          <w:szCs w:val="21"/>
          <w:u w:val="double"/>
        </w:rPr>
        <w:t>具有执业资格人员，且应在确定派驻人员名单后，及时向</w:t>
      </w:r>
      <w:r>
        <w:rPr>
          <w:rFonts w:ascii="宋体" w:eastAsia="宋体" w:hAnsi="宋体" w:cs="Times New Roman" w:hint="eastAsia"/>
          <w:b/>
          <w:bCs/>
          <w:szCs w:val="21"/>
          <w:u w:val="double"/>
          <w:lang w:eastAsia="zh-CN"/>
        </w:rPr>
        <w:t>采购人</w:t>
      </w:r>
      <w:r>
        <w:rPr>
          <w:rFonts w:ascii="宋体" w:eastAsia="宋体" w:hAnsi="宋体" w:cs="Times New Roman" w:hint="eastAsia"/>
          <w:b/>
          <w:bCs/>
          <w:szCs w:val="21"/>
          <w:u w:val="double"/>
        </w:rPr>
        <w:t>提交派驻人员的个人简历以及相应的资质证书留存备案。如有相关派驻人员变更，</w:t>
      </w:r>
      <w:r>
        <w:rPr>
          <w:rFonts w:ascii="宋体" w:eastAsia="宋体" w:hAnsi="宋体" w:cs="Times New Roman" w:hint="eastAsia"/>
          <w:b/>
          <w:bCs/>
          <w:szCs w:val="21"/>
          <w:u w:val="double"/>
          <w:lang w:eastAsia="zh-CN"/>
        </w:rPr>
        <w:t>中标供应商</w:t>
      </w:r>
      <w:r>
        <w:rPr>
          <w:rFonts w:ascii="宋体" w:eastAsia="宋体" w:hAnsi="宋体" w:cs="Times New Roman" w:hint="eastAsia"/>
          <w:b/>
          <w:bCs/>
          <w:szCs w:val="21"/>
          <w:u w:val="double"/>
        </w:rPr>
        <w:t>需在相关派驻人员变更</w:t>
      </w:r>
      <w:r>
        <w:rPr>
          <w:rFonts w:ascii="宋体" w:eastAsia="宋体" w:hAnsi="宋体" w:cs="Times New Roman" w:hint="eastAsia"/>
          <w:b/>
          <w:bCs/>
          <w:szCs w:val="21"/>
          <w:u w:val="double"/>
          <w:lang w:val="en-US" w:eastAsia="zh-CN"/>
        </w:rPr>
        <w:t>前预先</w:t>
      </w:r>
      <w:r>
        <w:rPr>
          <w:rFonts w:ascii="宋体" w:eastAsia="宋体" w:hAnsi="宋体" w:cs="Times New Roman" w:hint="eastAsia"/>
          <w:b/>
          <w:bCs/>
          <w:szCs w:val="21"/>
          <w:u w:val="double"/>
        </w:rPr>
        <w:t>告知</w:t>
      </w:r>
      <w:r>
        <w:rPr>
          <w:rFonts w:ascii="宋体" w:hAnsi="宋体" w:cs="Times New Roman" w:hint="eastAsia"/>
          <w:b/>
          <w:bCs/>
          <w:szCs w:val="21"/>
          <w:u w:val="double"/>
          <w:lang w:val="en-US" w:eastAsia="zh-CN"/>
        </w:rPr>
        <w:t>拘留所</w:t>
      </w:r>
      <w:r>
        <w:rPr>
          <w:rFonts w:ascii="宋体" w:eastAsia="宋体" w:hAnsi="宋体" w:cs="Times New Roman" w:hint="eastAsia"/>
          <w:b/>
          <w:bCs/>
          <w:szCs w:val="21"/>
          <w:u w:val="double"/>
        </w:rPr>
        <w:t>，并提供新的派驻人员的相关资料。医务人员允许多点执业</w:t>
      </w:r>
      <w:r>
        <w:rPr>
          <w:rFonts w:ascii="宋体" w:hAnsi="宋体" w:cs="Times New Roman" w:hint="eastAsia"/>
          <w:b/>
          <w:bCs/>
          <w:szCs w:val="21"/>
          <w:u w:val="double"/>
          <w:lang w:eastAsia="zh-CN"/>
        </w:rPr>
        <w:t>（</w:t>
      </w:r>
      <w:r>
        <w:rPr>
          <w:rFonts w:ascii="宋体" w:hAnsi="宋体" w:cs="Times New Roman" w:hint="eastAsia"/>
          <w:b/>
          <w:bCs/>
          <w:szCs w:val="21"/>
          <w:u w:val="double"/>
          <w:lang w:val="en-US" w:eastAsia="zh-CN"/>
        </w:rPr>
        <w:t>执业地一处需为拘留所门诊部</w:t>
      </w:r>
      <w:r>
        <w:rPr>
          <w:rFonts w:ascii="宋体" w:hAnsi="宋体" w:cs="Times New Roman" w:hint="eastAsia"/>
          <w:b/>
          <w:bCs/>
          <w:szCs w:val="21"/>
          <w:u w:val="double"/>
          <w:lang w:eastAsia="zh-CN"/>
        </w:rPr>
        <w:t>）</w:t>
      </w:r>
      <w:r>
        <w:rPr>
          <w:rFonts w:ascii="宋体" w:eastAsia="宋体" w:hAnsi="宋体" w:cs="Times New Roman" w:hint="eastAsia"/>
          <w:b/>
          <w:bCs/>
          <w:szCs w:val="21"/>
          <w:u w:val="double"/>
        </w:rPr>
        <w:t>，原则上定人定岗</w:t>
      </w:r>
      <w:r>
        <w:rPr>
          <w:rFonts w:ascii="宋体" w:eastAsia="宋体" w:hAnsi="宋体" w:cs="Times New Roman" w:hint="eastAsia"/>
          <w:b/>
          <w:bCs/>
          <w:szCs w:val="21"/>
          <w:u w:val="double"/>
          <w:lang w:val="en-US" w:eastAsia="zh-CN"/>
        </w:rPr>
        <w:t>并</w:t>
      </w:r>
      <w:r>
        <w:rPr>
          <w:rFonts w:ascii="宋体" w:eastAsia="宋体" w:hAnsi="宋体" w:cs="Times New Roman" w:hint="eastAsia"/>
          <w:b/>
          <w:bCs/>
          <w:szCs w:val="21"/>
          <w:u w:val="double"/>
        </w:rPr>
        <w:t>以拘留所医疗工作为主。</w:t>
      </w:r>
    </w:p>
    <w:p>
      <w:pPr>
        <w:spacing w:line="360" w:lineRule="auto"/>
        <w:ind w:firstLine="420" w:firstLineChars="200"/>
        <w:jc w:val="left"/>
        <w:rPr>
          <w:rFonts w:ascii="宋体" w:eastAsia="宋体" w:hAnsi="宋体" w:cs="Times New Roman" w:hint="eastAsia"/>
          <w:b/>
          <w:bCs/>
          <w:szCs w:val="21"/>
          <w:u w:val="double"/>
          <w:lang w:val="en-US" w:eastAsia="zh-CN"/>
        </w:rPr>
      </w:pPr>
      <w:r>
        <w:rPr>
          <w:rFonts w:ascii="宋体" w:eastAsia="宋体" w:hAnsi="宋体" w:cs="Times New Roman" w:hint="eastAsia"/>
          <w:b/>
          <w:bCs/>
          <w:szCs w:val="21"/>
          <w:u w:val="double"/>
          <w:lang w:val="en-US" w:eastAsia="zh-CN"/>
        </w:rPr>
        <w:t>2.1</w:t>
      </w:r>
      <w:r>
        <w:rPr>
          <w:rFonts w:ascii="宋体" w:hAnsi="宋体" w:cs="Times New Roman" w:hint="eastAsia"/>
          <w:b/>
          <w:bCs/>
          <w:szCs w:val="21"/>
          <w:u w:val="double"/>
          <w:lang w:val="en-US" w:eastAsia="zh-CN"/>
        </w:rPr>
        <w:t>8</w:t>
      </w:r>
      <w:r>
        <w:rPr>
          <w:rFonts w:ascii="宋体" w:eastAsia="宋体" w:hAnsi="宋体" w:cs="Times New Roman" w:hint="eastAsia"/>
          <w:b/>
          <w:bCs/>
          <w:szCs w:val="21"/>
          <w:u w:val="double"/>
          <w:lang w:eastAsia="zh-CN"/>
        </w:rPr>
        <w:t>中标供应商</w:t>
      </w:r>
      <w:r>
        <w:rPr>
          <w:rFonts w:ascii="宋体" w:eastAsia="宋体" w:hAnsi="宋体" w:cs="Times New Roman" w:hint="eastAsia"/>
          <w:b/>
          <w:bCs/>
          <w:szCs w:val="21"/>
          <w:u w:val="double"/>
        </w:rPr>
        <w:t>派驻医护人员必须遵守</w:t>
      </w:r>
      <w:r>
        <w:rPr>
          <w:rFonts w:ascii="宋体" w:eastAsia="宋体" w:hAnsi="宋体" w:cs="Times New Roman" w:hint="eastAsia"/>
          <w:b/>
          <w:bCs/>
          <w:szCs w:val="21"/>
          <w:u w:val="double"/>
          <w:lang w:eastAsia="zh-CN"/>
        </w:rPr>
        <w:t>采购人</w:t>
      </w:r>
      <w:r>
        <w:rPr>
          <w:rFonts w:ascii="宋体" w:eastAsia="宋体" w:hAnsi="宋体" w:cs="Times New Roman" w:hint="eastAsia"/>
          <w:b/>
          <w:bCs/>
          <w:szCs w:val="21"/>
          <w:u w:val="double"/>
        </w:rPr>
        <w:t>的工作制度，履行工作职责</w:t>
      </w:r>
      <w:r>
        <w:rPr>
          <w:rFonts w:ascii="宋体" w:eastAsia="宋体" w:hAnsi="宋体" w:cs="Times New Roman" w:hint="eastAsia"/>
          <w:b/>
          <w:bCs/>
          <w:szCs w:val="21"/>
          <w:u w:val="double"/>
          <w:lang w:eastAsia="zh-CN"/>
        </w:rPr>
        <w:t>，</w:t>
      </w:r>
      <w:r>
        <w:rPr>
          <w:rFonts w:ascii="宋体" w:eastAsia="宋体" w:hAnsi="宋体" w:cs="Times New Roman" w:hint="eastAsia"/>
          <w:b/>
          <w:bCs/>
          <w:szCs w:val="21"/>
          <w:u w:val="double"/>
          <w:lang w:val="en-US" w:eastAsia="zh-CN"/>
        </w:rPr>
        <w:t>落实早晚交班制度。</w:t>
      </w:r>
    </w:p>
    <w:p>
      <w:pPr>
        <w:spacing w:line="360" w:lineRule="auto"/>
        <w:ind w:firstLine="420" w:firstLineChars="200"/>
        <w:jc w:val="left"/>
        <w:rPr>
          <w:rFonts w:ascii="宋体" w:eastAsia="宋体" w:hAnsi="宋体" w:cs="Times New Roman" w:hint="eastAsia"/>
          <w:b/>
          <w:bCs/>
          <w:szCs w:val="21"/>
          <w:u w:val="double"/>
        </w:rPr>
      </w:pPr>
      <w:r>
        <w:rPr>
          <w:rFonts w:ascii="宋体" w:eastAsia="宋体" w:hAnsi="宋体" w:cs="Times New Roman" w:hint="eastAsia"/>
          <w:b/>
          <w:bCs/>
          <w:szCs w:val="21"/>
          <w:u w:val="double"/>
          <w:lang w:val="en-US" w:eastAsia="zh-CN"/>
        </w:rPr>
        <w:t>2.</w:t>
      </w:r>
      <w:r>
        <w:rPr>
          <w:rFonts w:ascii="宋体" w:hAnsi="宋体" w:cs="Times New Roman" w:hint="eastAsia"/>
          <w:b/>
          <w:bCs/>
          <w:szCs w:val="21"/>
          <w:u w:val="double"/>
          <w:lang w:val="en-US" w:eastAsia="zh-CN"/>
        </w:rPr>
        <w:t>19</w:t>
      </w:r>
      <w:r>
        <w:rPr>
          <w:rFonts w:ascii="宋体" w:eastAsia="宋体" w:hAnsi="宋体" w:cs="Times New Roman" w:hint="eastAsia"/>
          <w:b/>
          <w:bCs/>
          <w:szCs w:val="21"/>
          <w:u w:val="double"/>
          <w:lang w:eastAsia="zh-CN"/>
        </w:rPr>
        <w:t>中标供应商</w:t>
      </w:r>
      <w:r>
        <w:rPr>
          <w:rFonts w:ascii="宋体" w:eastAsia="宋体" w:hAnsi="宋体" w:cs="Times New Roman" w:hint="eastAsia"/>
          <w:b/>
          <w:bCs/>
          <w:szCs w:val="21"/>
          <w:u w:val="double"/>
        </w:rPr>
        <w:t>负责对派驻医护人员的业务和人事管理工作，严格按照医院的业务规范和</w:t>
      </w:r>
      <w:r>
        <w:rPr>
          <w:rFonts w:ascii="宋体" w:eastAsia="宋体" w:hAnsi="宋体" w:cs="Times New Roman" w:hint="eastAsia"/>
          <w:b/>
          <w:bCs/>
          <w:szCs w:val="21"/>
          <w:u w:val="double"/>
          <w:lang w:val="en-US" w:eastAsia="zh-CN"/>
        </w:rPr>
        <w:t>人</w:t>
      </w:r>
      <w:r>
        <w:rPr>
          <w:rFonts w:ascii="宋体" w:eastAsia="宋体" w:hAnsi="宋体" w:cs="Times New Roman" w:hint="eastAsia"/>
          <w:b/>
          <w:bCs/>
          <w:szCs w:val="21"/>
          <w:u w:val="double"/>
        </w:rPr>
        <w:t>事管理制度</w:t>
      </w:r>
      <w:r>
        <w:rPr>
          <w:rFonts w:ascii="宋体" w:eastAsia="宋体" w:hAnsi="宋体" w:cs="Times New Roman" w:hint="eastAsia"/>
          <w:b/>
          <w:bCs/>
          <w:szCs w:val="21"/>
          <w:u w:val="double"/>
          <w:lang w:val="en-US" w:eastAsia="zh-CN"/>
        </w:rPr>
        <w:t>加强</w:t>
      </w:r>
      <w:r>
        <w:rPr>
          <w:rFonts w:ascii="宋体" w:eastAsia="宋体" w:hAnsi="宋体" w:cs="Times New Roman" w:hint="eastAsia"/>
          <w:b/>
          <w:bCs/>
          <w:szCs w:val="21"/>
          <w:u w:val="double"/>
        </w:rPr>
        <w:t>对派驻人员的管理。</w:t>
      </w:r>
    </w:p>
    <w:p>
      <w:pPr>
        <w:spacing w:line="360" w:lineRule="auto"/>
        <w:ind w:firstLine="420" w:firstLineChars="200"/>
        <w:jc w:val="left"/>
        <w:rPr>
          <w:rFonts w:ascii="宋体" w:eastAsia="宋体" w:hAnsi="宋体" w:cs="Times New Roman" w:hint="eastAsia"/>
          <w:b/>
          <w:bCs/>
          <w:szCs w:val="21"/>
          <w:highlight w:val="yellow"/>
          <w:u w:val="double"/>
        </w:rPr>
      </w:pPr>
      <w:r>
        <w:rPr>
          <w:rFonts w:ascii="宋体" w:hAnsi="宋体" w:cs="Times New Roman" w:hint="eastAsia"/>
          <w:b/>
          <w:bCs/>
          <w:szCs w:val="21"/>
          <w:highlight w:val="yellow"/>
          <w:u w:val="double"/>
          <w:lang w:val="en-US" w:eastAsia="zh-CN"/>
        </w:rPr>
        <w:t>★</w:t>
      </w:r>
      <w:r>
        <w:rPr>
          <w:rFonts w:ascii="宋体" w:eastAsia="宋体" w:hAnsi="宋体" w:cs="Times New Roman" w:hint="eastAsia"/>
          <w:b/>
          <w:bCs/>
          <w:szCs w:val="21"/>
          <w:highlight w:val="yellow"/>
          <w:u w:val="double"/>
          <w:lang w:val="en-US" w:eastAsia="zh-CN"/>
        </w:rPr>
        <w:t>2.2</w:t>
      </w:r>
      <w:r>
        <w:rPr>
          <w:rFonts w:ascii="宋体" w:hAnsi="宋体" w:cs="Times New Roman" w:hint="eastAsia"/>
          <w:b/>
          <w:bCs/>
          <w:szCs w:val="21"/>
          <w:highlight w:val="yellow"/>
          <w:u w:val="double"/>
          <w:lang w:val="en-US" w:eastAsia="zh-CN"/>
        </w:rPr>
        <w:t>0</w:t>
      </w:r>
      <w:r>
        <w:rPr>
          <w:rFonts w:ascii="宋体" w:eastAsia="宋体" w:hAnsi="宋体" w:cs="Times New Roman" w:hint="eastAsia"/>
          <w:b/>
          <w:bCs/>
          <w:szCs w:val="21"/>
          <w:highlight w:val="yellow"/>
          <w:u w:val="double"/>
          <w:lang w:eastAsia="zh-CN"/>
        </w:rPr>
        <w:t>中标供应商</w:t>
      </w:r>
      <w:r>
        <w:rPr>
          <w:rFonts w:ascii="宋体" w:eastAsia="宋体" w:hAnsi="宋体" w:cs="Times New Roman" w:hint="eastAsia"/>
          <w:b/>
          <w:bCs/>
          <w:szCs w:val="21"/>
          <w:highlight w:val="yellow"/>
          <w:u w:val="double"/>
        </w:rPr>
        <w:t>指定1名项目负责人，负责与</w:t>
      </w:r>
      <w:r>
        <w:rPr>
          <w:rFonts w:ascii="宋体" w:eastAsia="宋体" w:hAnsi="宋体" w:cs="Times New Roman" w:hint="eastAsia"/>
          <w:b/>
          <w:bCs/>
          <w:szCs w:val="21"/>
          <w:highlight w:val="yellow"/>
          <w:u w:val="double"/>
          <w:lang w:eastAsia="zh-CN"/>
        </w:rPr>
        <w:t>采购人</w:t>
      </w:r>
      <w:r>
        <w:rPr>
          <w:rFonts w:ascii="宋体" w:eastAsia="宋体" w:hAnsi="宋体" w:cs="Times New Roman" w:hint="eastAsia"/>
          <w:b/>
          <w:bCs/>
          <w:szCs w:val="21"/>
          <w:highlight w:val="yellow"/>
          <w:u w:val="double"/>
        </w:rPr>
        <w:t>加强对</w:t>
      </w:r>
      <w:r>
        <w:rPr>
          <w:rFonts w:ascii="宋体" w:eastAsia="宋体" w:hAnsi="宋体" w:cs="Times New Roman" w:hint="eastAsia"/>
          <w:b/>
          <w:bCs/>
          <w:szCs w:val="21"/>
          <w:highlight w:val="yellow"/>
          <w:u w:val="double"/>
          <w:lang w:val="en-US" w:eastAsia="zh-CN"/>
        </w:rPr>
        <w:t>派驻</w:t>
      </w:r>
      <w:r>
        <w:rPr>
          <w:rFonts w:ascii="宋体" w:eastAsia="宋体" w:hAnsi="宋体" w:cs="Times New Roman" w:hint="eastAsia"/>
          <w:b/>
          <w:bCs/>
          <w:szCs w:val="21"/>
          <w:highlight w:val="yellow"/>
          <w:u w:val="double"/>
        </w:rPr>
        <w:t>医护人员的管理。双方建立常态联络机制，</w:t>
      </w:r>
      <w:r>
        <w:rPr>
          <w:rFonts w:ascii="宋体" w:hAnsi="宋体" w:cs="Times New Roman" w:hint="eastAsia"/>
          <w:b/>
          <w:bCs/>
          <w:szCs w:val="21"/>
          <w:highlight w:val="yellow"/>
          <w:u w:val="double"/>
          <w:lang w:val="en-US" w:eastAsia="zh-CN"/>
        </w:rPr>
        <w:t>由负责人或指定相关医务人员参加与医疗相关的各类会议、调研、考察等工作</w:t>
      </w:r>
      <w:r>
        <w:rPr>
          <w:rFonts w:ascii="宋体" w:eastAsia="宋体" w:hAnsi="宋体" w:cs="Times New Roman" w:hint="eastAsia"/>
          <w:b/>
          <w:bCs/>
          <w:szCs w:val="21"/>
          <w:highlight w:val="yellow"/>
          <w:u w:val="double"/>
          <w:lang w:val="en-US" w:eastAsia="zh-CN"/>
        </w:rPr>
        <w:t>，</w:t>
      </w:r>
      <w:r>
        <w:rPr>
          <w:rFonts w:ascii="宋体" w:eastAsia="宋体" w:hAnsi="宋体" w:cs="Times New Roman" w:hint="eastAsia"/>
          <w:b/>
          <w:bCs/>
          <w:szCs w:val="21"/>
          <w:highlight w:val="yellow"/>
          <w:u w:val="double"/>
        </w:rPr>
        <w:t>定期召开联席工作会议，及时通报发现问题，共同研究解决工作中遇到的困难和问题。</w:t>
      </w:r>
    </w:p>
    <w:p>
      <w:pPr>
        <w:spacing w:line="360" w:lineRule="auto"/>
        <w:ind w:firstLine="420" w:firstLineChars="200"/>
        <w:jc w:val="left"/>
        <w:rPr>
          <w:rFonts w:ascii="宋体" w:eastAsia="宋体" w:hAnsi="宋体" w:cs="Times New Roman" w:hint="eastAsia"/>
          <w:b/>
          <w:bCs/>
          <w:szCs w:val="21"/>
          <w:u w:val="double"/>
        </w:rPr>
      </w:pPr>
      <w:r>
        <w:rPr>
          <w:rFonts w:ascii="宋体" w:eastAsia="宋体" w:hAnsi="宋体" w:cs="Times New Roman" w:hint="eastAsia"/>
          <w:b/>
          <w:bCs/>
          <w:szCs w:val="21"/>
          <w:u w:val="double"/>
          <w:lang w:val="en-US" w:eastAsia="zh-CN"/>
        </w:rPr>
        <w:t>2.2</w:t>
      </w:r>
      <w:r>
        <w:rPr>
          <w:rFonts w:ascii="宋体" w:hAnsi="宋体" w:cs="Times New Roman" w:hint="eastAsia"/>
          <w:b/>
          <w:bCs/>
          <w:szCs w:val="21"/>
          <w:u w:val="double"/>
          <w:lang w:val="en-US" w:eastAsia="zh-CN"/>
        </w:rPr>
        <w:t>1</w:t>
      </w:r>
      <w:r>
        <w:rPr>
          <w:rFonts w:ascii="宋体" w:eastAsia="宋体" w:hAnsi="宋体" w:cs="Times New Roman" w:hint="eastAsia"/>
          <w:b/>
          <w:bCs/>
          <w:szCs w:val="21"/>
          <w:u w:val="double"/>
          <w:lang w:eastAsia="zh-CN"/>
        </w:rPr>
        <w:t>中标供应商</w:t>
      </w:r>
      <w:r>
        <w:rPr>
          <w:rFonts w:ascii="宋体" w:eastAsia="宋体" w:hAnsi="宋体" w:cs="Times New Roman" w:hint="eastAsia"/>
          <w:b/>
          <w:bCs/>
          <w:szCs w:val="21"/>
          <w:u w:val="double"/>
        </w:rPr>
        <w:t>按照规范标准开展业务并及时</w:t>
      </w:r>
      <w:r>
        <w:rPr>
          <w:rFonts w:ascii="宋体" w:hAnsi="宋体" w:cs="Times New Roman" w:hint="eastAsia"/>
          <w:b/>
          <w:bCs/>
          <w:szCs w:val="21"/>
          <w:u w:val="double"/>
          <w:lang w:val="en-US" w:eastAsia="zh-CN"/>
        </w:rPr>
        <w:t>完成通报</w:t>
      </w:r>
      <w:r>
        <w:rPr>
          <w:rFonts w:ascii="宋体" w:eastAsia="宋体" w:hAnsi="宋体" w:cs="Times New Roman" w:hint="eastAsia"/>
          <w:b/>
          <w:bCs/>
          <w:szCs w:val="21"/>
          <w:u w:val="double"/>
        </w:rPr>
        <w:t>突发疫情等公共卫生事件</w:t>
      </w:r>
      <w:r>
        <w:rPr>
          <w:rFonts w:ascii="宋体" w:hAnsi="宋体" w:cs="Times New Roman" w:hint="eastAsia"/>
          <w:b/>
          <w:bCs/>
          <w:szCs w:val="21"/>
          <w:u w:val="double"/>
          <w:lang w:val="en-US" w:eastAsia="zh-CN"/>
        </w:rPr>
        <w:t>等</w:t>
      </w:r>
      <w:r>
        <w:rPr>
          <w:rFonts w:ascii="宋体" w:eastAsia="宋体" w:hAnsi="宋体" w:cs="Times New Roman" w:hint="eastAsia"/>
          <w:b/>
          <w:bCs/>
          <w:szCs w:val="21"/>
          <w:u w:val="double"/>
        </w:rPr>
        <w:t>工作要求，避免发生不必要的损失。</w:t>
      </w:r>
    </w:p>
    <w:p>
      <w:pPr>
        <w:spacing w:line="360" w:lineRule="auto"/>
        <w:ind w:firstLine="420" w:firstLineChars="200"/>
        <w:jc w:val="left"/>
        <w:rPr>
          <w:rFonts w:ascii="宋体" w:eastAsia="宋体" w:hAnsi="宋体" w:cs="Times New Roman" w:hint="eastAsia"/>
          <w:b/>
          <w:bCs/>
          <w:szCs w:val="21"/>
          <w:u w:val="double"/>
        </w:rPr>
      </w:pPr>
      <w:r>
        <w:rPr>
          <w:rFonts w:ascii="宋体" w:eastAsia="宋体" w:hAnsi="宋体" w:cs="Times New Roman" w:hint="eastAsia"/>
          <w:b/>
          <w:bCs/>
          <w:szCs w:val="21"/>
          <w:u w:val="double"/>
          <w:lang w:val="en-US" w:eastAsia="zh-CN"/>
        </w:rPr>
        <w:t>2.2</w:t>
      </w:r>
      <w:r>
        <w:rPr>
          <w:rFonts w:ascii="宋体" w:hAnsi="宋体" w:cs="Times New Roman" w:hint="eastAsia"/>
          <w:b/>
          <w:bCs/>
          <w:szCs w:val="21"/>
          <w:u w:val="double"/>
          <w:lang w:val="en-US" w:eastAsia="zh-CN"/>
        </w:rPr>
        <w:t>2</w:t>
      </w:r>
      <w:r>
        <w:rPr>
          <w:rFonts w:ascii="宋体" w:eastAsia="宋体" w:hAnsi="宋体" w:cs="Times New Roman" w:hint="eastAsia"/>
          <w:b/>
          <w:bCs/>
          <w:szCs w:val="21"/>
          <w:u w:val="double"/>
          <w:lang w:eastAsia="zh-CN"/>
        </w:rPr>
        <w:t>中标供应商</w:t>
      </w:r>
      <w:r>
        <w:rPr>
          <w:rFonts w:ascii="宋体" w:eastAsia="宋体" w:hAnsi="宋体" w:cs="Times New Roman" w:hint="eastAsia"/>
          <w:b/>
          <w:bCs/>
          <w:szCs w:val="21"/>
          <w:u w:val="double"/>
        </w:rPr>
        <w:t>需提供整体</w:t>
      </w:r>
      <w:r>
        <w:rPr>
          <w:rFonts w:ascii="宋体" w:eastAsia="宋体" w:hAnsi="宋体" w:cs="Times New Roman" w:hint="eastAsia"/>
          <w:b/>
          <w:bCs/>
          <w:szCs w:val="21"/>
          <w:u w:val="double"/>
          <w:lang w:val="en-US" w:eastAsia="zh-CN"/>
        </w:rPr>
        <w:t>完善</w:t>
      </w:r>
      <w:r>
        <w:rPr>
          <w:rFonts w:ascii="宋体" w:eastAsia="宋体" w:hAnsi="宋体" w:cs="Times New Roman" w:hint="eastAsia"/>
          <w:b/>
          <w:bCs/>
          <w:szCs w:val="21"/>
          <w:u w:val="double"/>
        </w:rPr>
        <w:t>详实、实操性强、合理可行的轮班制度，提供拟投入本项目医务分工，</w:t>
      </w:r>
      <w:r>
        <w:rPr>
          <w:rFonts w:ascii="宋体" w:hAnsi="宋体" w:cs="Times New Roman" w:hint="eastAsia"/>
          <w:b/>
          <w:bCs/>
          <w:szCs w:val="21"/>
          <w:u w:val="double"/>
          <w:lang w:val="en-US" w:eastAsia="zh-CN"/>
        </w:rPr>
        <w:t>日常</w:t>
      </w:r>
      <w:r>
        <w:rPr>
          <w:rFonts w:ascii="宋体" w:eastAsia="宋体" w:hAnsi="宋体" w:cs="Times New Roman" w:hint="eastAsia"/>
          <w:b/>
          <w:bCs/>
          <w:szCs w:val="21"/>
          <w:u w:val="double"/>
        </w:rPr>
        <w:t>轮班及具体时间安排</w:t>
      </w:r>
      <w:r>
        <w:rPr>
          <w:rFonts w:ascii="宋体" w:hAnsi="宋体" w:cs="Times New Roman" w:hint="eastAsia"/>
          <w:b/>
          <w:bCs/>
          <w:szCs w:val="21"/>
          <w:u w:val="double"/>
          <w:lang w:eastAsia="zh-CN"/>
        </w:rPr>
        <w:t>、</w:t>
      </w:r>
      <w:r>
        <w:rPr>
          <w:rFonts w:ascii="宋体" w:hAnsi="宋体" w:cs="Times New Roman" w:hint="eastAsia"/>
          <w:b/>
          <w:bCs/>
          <w:szCs w:val="21"/>
          <w:u w:val="double"/>
          <w:lang w:val="en-US" w:eastAsia="zh-CN"/>
        </w:rPr>
        <w:t>医务人员</w:t>
      </w:r>
      <w:r>
        <w:rPr>
          <w:rFonts w:ascii="宋体" w:eastAsia="宋体" w:hAnsi="宋体" w:cs="Times New Roman" w:hint="eastAsia"/>
          <w:b/>
          <w:bCs/>
          <w:szCs w:val="21"/>
          <w:u w:val="double"/>
          <w:lang w:val="en-US" w:eastAsia="zh-CN"/>
        </w:rPr>
        <w:t>销</w:t>
      </w:r>
      <w:r>
        <w:rPr>
          <w:rFonts w:ascii="宋体" w:hAnsi="宋体" w:cs="Times New Roman" w:hint="eastAsia"/>
          <w:b/>
          <w:bCs/>
          <w:szCs w:val="21"/>
          <w:u w:val="double"/>
          <w:lang w:val="en-US" w:eastAsia="zh-CN"/>
        </w:rPr>
        <w:t>假、</w:t>
      </w:r>
      <w:r>
        <w:rPr>
          <w:rFonts w:ascii="宋体" w:eastAsia="宋体" w:hAnsi="宋体" w:cs="Times New Roman" w:hint="eastAsia"/>
          <w:b/>
          <w:bCs/>
          <w:szCs w:val="21"/>
          <w:u w:val="double"/>
        </w:rPr>
        <w:t>休假及</w:t>
      </w:r>
      <w:r>
        <w:rPr>
          <w:rFonts w:ascii="宋体" w:eastAsia="宋体" w:hAnsi="宋体" w:cs="Times New Roman" w:hint="eastAsia"/>
          <w:b/>
          <w:bCs/>
          <w:szCs w:val="21"/>
          <w:u w:val="double"/>
          <w:lang w:val="en-US" w:eastAsia="zh-CN"/>
        </w:rPr>
        <w:t>接替</w:t>
      </w:r>
      <w:r>
        <w:rPr>
          <w:rFonts w:ascii="宋体" w:eastAsia="宋体" w:hAnsi="宋体" w:cs="Times New Roman" w:hint="eastAsia"/>
          <w:b/>
          <w:bCs/>
          <w:szCs w:val="21"/>
          <w:u w:val="double"/>
        </w:rPr>
        <w:t>机制完备合理，能充分保障服务期间对于</w:t>
      </w:r>
      <w:r>
        <w:rPr>
          <w:rFonts w:ascii="宋体" w:hAnsi="宋体" w:cs="Times New Roman" w:hint="eastAsia"/>
          <w:b/>
          <w:bCs/>
          <w:szCs w:val="21"/>
          <w:u w:val="double"/>
          <w:lang w:val="en-US" w:eastAsia="zh-CN"/>
        </w:rPr>
        <w:t>拘留所医疗服务</w:t>
      </w:r>
      <w:r>
        <w:rPr>
          <w:rFonts w:ascii="宋体" w:eastAsia="宋体" w:hAnsi="宋体" w:cs="Times New Roman" w:hint="eastAsia"/>
          <w:b/>
          <w:bCs/>
          <w:szCs w:val="21"/>
          <w:u w:val="double"/>
        </w:rPr>
        <w:t>要求</w:t>
      </w:r>
      <w:r>
        <w:rPr>
          <w:rFonts w:ascii="宋体" w:hAnsi="宋体" w:cs="Times New Roman" w:hint="eastAsia"/>
          <w:b/>
          <w:bCs/>
          <w:szCs w:val="21"/>
          <w:u w:val="double"/>
          <w:lang w:val="en-US" w:eastAsia="zh-CN"/>
        </w:rPr>
        <w:t>的</w:t>
      </w:r>
      <w:r>
        <w:rPr>
          <w:rFonts w:ascii="宋体" w:eastAsia="宋体" w:hAnsi="宋体" w:cs="Times New Roman" w:hint="eastAsia"/>
          <w:b/>
          <w:bCs/>
          <w:szCs w:val="21"/>
          <w:u w:val="double"/>
        </w:rPr>
        <w:t>轮班制度(包括但不限于轮班分工、轮班时间安排、请休假及</w:t>
      </w:r>
      <w:r>
        <w:rPr>
          <w:rFonts w:ascii="宋体" w:eastAsia="宋体" w:hAnsi="宋体" w:cs="Times New Roman" w:hint="eastAsia"/>
          <w:b/>
          <w:bCs/>
          <w:szCs w:val="21"/>
          <w:u w:val="double"/>
          <w:lang w:val="en-US" w:eastAsia="zh-CN"/>
        </w:rPr>
        <w:t>接替</w:t>
      </w:r>
      <w:r>
        <w:rPr>
          <w:rFonts w:ascii="宋体" w:eastAsia="宋体" w:hAnsi="宋体" w:cs="Times New Roman" w:hint="eastAsia"/>
          <w:b/>
          <w:bCs/>
          <w:szCs w:val="21"/>
          <w:u w:val="double"/>
        </w:rPr>
        <w:t>机制)。</w:t>
      </w:r>
    </w:p>
    <w:p>
      <w:pPr>
        <w:spacing w:line="360" w:lineRule="auto"/>
        <w:ind w:firstLine="420" w:firstLineChars="200"/>
        <w:jc w:val="left"/>
        <w:rPr>
          <w:rFonts w:ascii="宋体" w:eastAsia="宋体" w:hAnsi="宋体" w:cs="Times New Roman" w:hint="eastAsia"/>
          <w:b/>
          <w:bCs/>
          <w:szCs w:val="21"/>
          <w:u w:val="double"/>
          <w:lang w:val="en-US" w:eastAsia="zh-CN"/>
        </w:rPr>
      </w:pPr>
      <w:r>
        <w:rPr>
          <w:rFonts w:ascii="宋体" w:eastAsia="宋体" w:hAnsi="宋体" w:cs="Times New Roman" w:hint="eastAsia"/>
          <w:b/>
          <w:bCs/>
          <w:szCs w:val="21"/>
          <w:u w:val="double"/>
          <w:lang w:val="en-US" w:eastAsia="zh-CN"/>
        </w:rPr>
        <w:t>2.2</w:t>
      </w:r>
      <w:r>
        <w:rPr>
          <w:rFonts w:ascii="宋体" w:hAnsi="宋体" w:cs="Times New Roman" w:hint="eastAsia"/>
          <w:b/>
          <w:bCs/>
          <w:szCs w:val="21"/>
          <w:u w:val="double"/>
          <w:lang w:val="en-US" w:eastAsia="zh-CN"/>
        </w:rPr>
        <w:t>3</w:t>
      </w:r>
      <w:r>
        <w:rPr>
          <w:rFonts w:ascii="宋体" w:eastAsia="宋体" w:hAnsi="宋体" w:cs="Times New Roman" w:hint="eastAsia"/>
          <w:b/>
          <w:bCs/>
          <w:szCs w:val="21"/>
          <w:u w:val="double"/>
          <w:lang w:val="en-US" w:eastAsia="zh-CN"/>
        </w:rPr>
        <w:t>门诊部医务人员需每月开展质控检查，</w:t>
      </w:r>
      <w:r>
        <w:rPr>
          <w:rFonts w:ascii="宋体" w:hAnsi="宋体" w:cs="Times New Roman" w:hint="eastAsia"/>
          <w:b/>
          <w:bCs/>
          <w:szCs w:val="21"/>
          <w:u w:val="double"/>
          <w:lang w:val="en-US" w:eastAsia="zh-CN"/>
        </w:rPr>
        <w:t>中标供应商</w:t>
      </w:r>
      <w:r>
        <w:rPr>
          <w:rFonts w:ascii="宋体" w:eastAsia="宋体" w:hAnsi="宋体" w:cs="Times New Roman" w:hint="eastAsia"/>
          <w:b/>
          <w:bCs/>
          <w:szCs w:val="21"/>
          <w:u w:val="double"/>
          <w:lang w:val="en-US" w:eastAsia="zh-CN"/>
        </w:rPr>
        <w:t>需每季度派专家来拘留所开展医疗质控检查工作，并形成纸质报告发</w:t>
      </w:r>
      <w:r>
        <w:rPr>
          <w:rFonts w:ascii="宋体" w:hAnsi="宋体" w:cs="Times New Roman" w:hint="eastAsia"/>
          <w:b/>
          <w:bCs/>
          <w:szCs w:val="21"/>
          <w:u w:val="double"/>
          <w:lang w:val="en-US" w:eastAsia="zh-CN"/>
        </w:rPr>
        <w:t>拘留所</w:t>
      </w:r>
      <w:r>
        <w:rPr>
          <w:rFonts w:ascii="宋体" w:eastAsia="宋体" w:hAnsi="宋体" w:cs="Times New Roman" w:hint="eastAsia"/>
          <w:b/>
          <w:bCs/>
          <w:szCs w:val="21"/>
          <w:u w:val="double"/>
          <w:lang w:val="en-US" w:eastAsia="zh-CN"/>
        </w:rPr>
        <w:t>。</w:t>
      </w:r>
    </w:p>
    <w:p>
      <w:pPr>
        <w:spacing w:line="360" w:lineRule="auto"/>
        <w:ind w:firstLine="420" w:firstLineChars="200"/>
        <w:jc w:val="left"/>
        <w:rPr>
          <w:rFonts w:ascii="宋体" w:eastAsia="宋体" w:hAnsi="宋体" w:cs="Times New Roman" w:hint="eastAsia"/>
          <w:b/>
          <w:bCs/>
          <w:szCs w:val="21"/>
          <w:u w:val="double"/>
          <w:lang w:val="en-US" w:eastAsia="zh-CN"/>
        </w:rPr>
      </w:pPr>
      <w:r>
        <w:rPr>
          <w:rFonts w:ascii="宋体" w:eastAsia="宋体" w:hAnsi="宋体" w:cs="Times New Roman" w:hint="eastAsia"/>
          <w:b/>
          <w:bCs/>
          <w:szCs w:val="21"/>
          <w:u w:val="double"/>
          <w:lang w:val="en-US" w:eastAsia="zh-CN"/>
        </w:rPr>
        <w:t>2.2</w:t>
      </w:r>
      <w:r>
        <w:rPr>
          <w:rFonts w:ascii="宋体" w:hAnsi="宋体" w:cs="Times New Roman" w:hint="eastAsia"/>
          <w:b/>
          <w:bCs/>
          <w:szCs w:val="21"/>
          <w:u w:val="double"/>
          <w:lang w:val="en-US" w:eastAsia="zh-CN"/>
        </w:rPr>
        <w:t>4</w:t>
      </w:r>
      <w:r>
        <w:rPr>
          <w:rFonts w:ascii="宋体" w:eastAsia="宋体" w:hAnsi="宋体" w:cs="Times New Roman" w:hint="eastAsia"/>
          <w:b/>
          <w:bCs/>
          <w:szCs w:val="21"/>
          <w:u w:val="double"/>
          <w:lang w:val="en-US" w:eastAsia="zh-CN"/>
        </w:rPr>
        <w:t>每周派一名精神科医生到拘留所进行会诊，或根据需要调配其他疾病专科会诊。</w:t>
      </w:r>
    </w:p>
    <w:p>
      <w:pPr>
        <w:spacing w:line="360" w:lineRule="auto"/>
        <w:ind w:firstLine="420" w:firstLineChars="200"/>
        <w:jc w:val="left"/>
        <w:rPr>
          <w:rFonts w:ascii="宋体" w:eastAsia="宋体" w:hAnsi="宋体" w:cs="Times New Roman" w:hint="eastAsia"/>
          <w:b/>
          <w:bCs/>
          <w:szCs w:val="21"/>
          <w:u w:val="double"/>
          <w:lang w:val="en-US" w:eastAsia="zh-CN"/>
        </w:rPr>
      </w:pPr>
      <w:r>
        <w:rPr>
          <w:rFonts w:ascii="宋体" w:eastAsia="宋体" w:hAnsi="宋体" w:cs="Times New Roman" w:hint="eastAsia"/>
          <w:b/>
          <w:bCs/>
          <w:szCs w:val="21"/>
          <w:u w:val="double"/>
          <w:lang w:val="en-US" w:eastAsia="zh-CN"/>
        </w:rPr>
        <w:t>2.25投标人具有大型医疗设备≥128排CT（用于诊断排除心梗）、3.0T核磁共振（用于诊断软组织损伤、神经系统疾病、骨关节损伤等）、O型臂（O-Arm）三维影像导航系统（用于术中影像诊断及导航）、DSA数字减影血管造影 （用于介入治疗，如支架置入，栓塞术）。</w:t>
      </w:r>
    </w:p>
    <w:p>
      <w:pPr>
        <w:keepNext w:val="0"/>
        <w:keepLines w:val="0"/>
        <w:widowControl/>
        <w:suppressLineNumbers w:val="0"/>
        <w:spacing w:line="360" w:lineRule="auto"/>
        <w:ind w:firstLine="420" w:firstLineChars="200"/>
        <w:jc w:val="left"/>
        <w:rPr>
          <w:rFonts w:ascii="宋体" w:eastAsia="宋体" w:hAnsi="宋体" w:cs="宋体" w:hint="eastAsia"/>
          <w:b/>
          <w:bCs/>
          <w:kern w:val="2"/>
          <w:sz w:val="21"/>
          <w:szCs w:val="21"/>
          <w:highlight w:val="none"/>
          <w:u w:val="double"/>
          <w:lang w:val="en-US" w:eastAsia="zh-CN"/>
        </w:rPr>
      </w:pPr>
      <w:r>
        <w:rPr>
          <w:rFonts w:ascii="宋体" w:eastAsia="宋体" w:hAnsi="宋体" w:cs="宋体" w:hint="eastAsia"/>
          <w:b/>
          <w:bCs/>
          <w:kern w:val="2"/>
          <w:sz w:val="21"/>
          <w:szCs w:val="21"/>
          <w:highlight w:val="none"/>
          <w:u w:val="double"/>
          <w:lang w:val="en-US" w:eastAsia="zh-CN"/>
        </w:rPr>
        <w:t>2.2</w:t>
      </w:r>
      <w:r>
        <w:rPr>
          <w:rFonts w:ascii="宋体" w:hAnsi="宋体" w:cs="宋体" w:hint="eastAsia"/>
          <w:b/>
          <w:bCs/>
          <w:kern w:val="2"/>
          <w:sz w:val="21"/>
          <w:szCs w:val="21"/>
          <w:highlight w:val="none"/>
          <w:u w:val="double"/>
          <w:lang w:val="en-US" w:eastAsia="zh-CN"/>
        </w:rPr>
        <w:t>6</w:t>
      </w:r>
      <w:r>
        <w:rPr>
          <w:rFonts w:ascii="宋体" w:eastAsia="宋体" w:hAnsi="宋体" w:cs="宋体" w:hint="eastAsia"/>
          <w:b/>
          <w:bCs/>
          <w:kern w:val="2"/>
          <w:sz w:val="21"/>
          <w:szCs w:val="21"/>
          <w:highlight w:val="none"/>
          <w:u w:val="double"/>
          <w:lang w:val="en-US" w:eastAsia="zh-CN"/>
        </w:rPr>
        <w:t>中标人需具备麻醉药品、第一类精神药品购用印鉴卡，以确保采购人羁押人员的工作需求。根据《麻醉药品、第一类精神药品购用印鉴卡》管理规定“二、医疗机构 需要使用麻醉药品和第一类精神药品，应当取得《麻醉药品、第一类精神药品购用印鉴卡》（以下简称《印鉴卡》），并凭《印鉴卡》向本省、自治区、直辖市范围内的定点批发企业购买麻醉药品和第一类精神药品”，中标人应取得《印鉴卡》。（提供《麻醉药品、第一类精神药品购用印鉴卡》扫描件）采购人若需代采购麻醉药品和精神药品，相关药品审批及费用另行商议结算。</w:t>
      </w:r>
    </w:p>
    <w:p>
      <w:pPr>
        <w:keepNext w:val="0"/>
        <w:keepLines w:val="0"/>
        <w:widowControl/>
        <w:suppressLineNumbers w:val="0"/>
        <w:spacing w:line="360" w:lineRule="auto"/>
        <w:ind w:firstLine="420" w:firstLineChars="200"/>
        <w:jc w:val="left"/>
        <w:rPr>
          <w:rFonts w:ascii="宋体" w:eastAsia="宋体" w:hAnsi="宋体" w:cs="宋体" w:hint="default"/>
          <w:b/>
          <w:bCs/>
          <w:kern w:val="2"/>
          <w:sz w:val="21"/>
          <w:szCs w:val="21"/>
          <w:highlight w:val="none"/>
          <w:u w:val="double"/>
          <w:lang w:val="en-US" w:eastAsia="zh-CN"/>
        </w:rPr>
      </w:pPr>
      <w:r>
        <w:rPr>
          <w:rFonts w:ascii="宋体" w:eastAsia="宋体" w:hAnsi="宋体" w:cs="宋体" w:hint="eastAsia"/>
          <w:b/>
          <w:bCs/>
          <w:kern w:val="2"/>
          <w:sz w:val="21"/>
          <w:szCs w:val="21"/>
          <w:highlight w:val="none"/>
          <w:u w:val="double"/>
          <w:lang w:val="en-US" w:eastAsia="zh-CN"/>
        </w:rPr>
        <w:t>2.2</w:t>
      </w:r>
      <w:r>
        <w:rPr>
          <w:rFonts w:ascii="宋体" w:hAnsi="宋体" w:cs="宋体" w:hint="eastAsia"/>
          <w:b/>
          <w:bCs/>
          <w:kern w:val="2"/>
          <w:sz w:val="21"/>
          <w:szCs w:val="21"/>
          <w:highlight w:val="none"/>
          <w:u w:val="double"/>
          <w:lang w:val="en-US" w:eastAsia="zh-CN"/>
        </w:rPr>
        <w:t>7</w:t>
      </w:r>
      <w:r>
        <w:rPr>
          <w:rFonts w:ascii="宋体" w:eastAsia="宋体" w:hAnsi="宋体" w:cs="宋体" w:hint="eastAsia"/>
          <w:b/>
          <w:bCs/>
          <w:kern w:val="2"/>
          <w:sz w:val="21"/>
          <w:szCs w:val="21"/>
          <w:highlight w:val="none"/>
          <w:u w:val="double"/>
          <w:lang w:val="en-US" w:eastAsia="zh-CN"/>
        </w:rPr>
        <w:t>中标人需为拘留所提供所需的精二类药品，相关药品审批及费用另行商议结算。</w:t>
      </w:r>
    </w:p>
    <w:p>
      <w:pPr>
        <w:spacing w:line="360" w:lineRule="auto"/>
        <w:ind w:firstLine="420" w:firstLineChars="200"/>
        <w:jc w:val="left"/>
        <w:rPr>
          <w:rFonts w:ascii="宋体" w:eastAsia="宋体" w:hAnsi="宋体" w:cs="宋体" w:hint="eastAsia"/>
          <w:b/>
          <w:bCs/>
          <w:szCs w:val="21"/>
          <w:u w:val="double"/>
          <w:lang w:val="en-US" w:eastAsia="zh-CN"/>
        </w:rPr>
      </w:pPr>
      <w:r>
        <w:rPr>
          <w:rFonts w:ascii="宋体" w:eastAsia="宋体" w:hAnsi="宋体" w:cs="宋体" w:hint="eastAsia"/>
          <w:b/>
          <w:bCs/>
          <w:szCs w:val="21"/>
          <w:u w:val="double"/>
          <w:lang w:val="en-US" w:eastAsia="zh-CN"/>
        </w:rPr>
        <w:t>2.</w:t>
      </w:r>
      <w:r>
        <w:rPr>
          <w:rFonts w:ascii="宋体" w:hAnsi="宋体" w:cs="宋体" w:hint="eastAsia"/>
          <w:b/>
          <w:bCs/>
          <w:szCs w:val="21"/>
          <w:u w:val="double"/>
          <w:lang w:val="en-US" w:eastAsia="zh-CN"/>
        </w:rPr>
        <w:t>28</w:t>
      </w:r>
      <w:r>
        <w:rPr>
          <w:rFonts w:ascii="宋体" w:eastAsia="宋体" w:hAnsi="宋体" w:cs="宋体" w:hint="eastAsia"/>
          <w:b/>
          <w:bCs/>
          <w:szCs w:val="21"/>
          <w:u w:val="double"/>
          <w:lang w:val="en-US" w:eastAsia="zh-CN"/>
        </w:rPr>
        <w:t>在拘留所工作所有医护工作人员需签订保密协议，违反保密协议的按照相关法律规定进行处理。</w:t>
      </w:r>
    </w:p>
    <w:p>
      <w:pPr>
        <w:spacing w:line="360" w:lineRule="auto"/>
        <w:ind w:firstLine="420" w:firstLineChars="200"/>
        <w:jc w:val="left"/>
        <w:rPr>
          <w:rFonts w:ascii="宋体" w:eastAsia="宋体" w:hAnsi="宋体" w:cs="宋体" w:hint="default"/>
          <w:b/>
          <w:bCs/>
          <w:szCs w:val="21"/>
          <w:highlight w:val="yellow"/>
          <w:u w:val="double"/>
          <w:lang w:val="en-US" w:eastAsia="zh-CN"/>
        </w:rPr>
      </w:pPr>
      <w:r>
        <w:rPr>
          <w:rFonts w:ascii="宋体" w:eastAsia="宋体" w:hAnsi="宋体" w:cs="宋体" w:hint="eastAsia"/>
          <w:b/>
          <w:bCs/>
          <w:kern w:val="2"/>
          <w:sz w:val="21"/>
          <w:szCs w:val="21"/>
          <w:highlight w:val="yellow"/>
          <w:u w:val="double"/>
          <w:lang w:val="en-US" w:eastAsia="zh-CN"/>
        </w:rPr>
        <w:t>★</w:t>
      </w:r>
      <w:r>
        <w:rPr>
          <w:rFonts w:ascii="宋体" w:eastAsia="宋体" w:hAnsi="宋体" w:cs="宋体" w:hint="eastAsia"/>
          <w:b/>
          <w:bCs/>
          <w:szCs w:val="21"/>
          <w:highlight w:val="yellow"/>
          <w:u w:val="double"/>
          <w:lang w:val="en-US" w:eastAsia="zh-CN"/>
        </w:rPr>
        <w:t>2.</w:t>
      </w:r>
      <w:r>
        <w:rPr>
          <w:rFonts w:ascii="宋体" w:hAnsi="宋体" w:cs="宋体" w:hint="eastAsia"/>
          <w:b/>
          <w:bCs/>
          <w:szCs w:val="21"/>
          <w:highlight w:val="yellow"/>
          <w:u w:val="double"/>
          <w:lang w:val="en-US" w:eastAsia="zh-CN"/>
        </w:rPr>
        <w:t>29</w:t>
      </w:r>
      <w:r>
        <w:rPr>
          <w:rFonts w:ascii="宋体" w:eastAsia="宋体" w:hAnsi="宋体" w:cs="宋体" w:hint="eastAsia"/>
          <w:b/>
          <w:bCs/>
          <w:szCs w:val="21"/>
          <w:highlight w:val="yellow"/>
          <w:u w:val="double"/>
          <w:lang w:val="en-US" w:eastAsia="zh-CN"/>
        </w:rPr>
        <w:t>中标人派驻到拘留所工作医护人员需无相关的违法犯罪记录，身体健康，无不良嗜好，政治面貌良好。</w:t>
      </w:r>
      <w:r>
        <w:rPr>
          <w:rFonts w:ascii="宋体" w:eastAsia="宋体" w:hAnsi="宋体" w:cs="宋体" w:hint="eastAsia"/>
          <w:b/>
          <w:bCs/>
          <w:szCs w:val="21"/>
          <w:highlight w:val="yellow"/>
          <w:u w:val="double"/>
        </w:rPr>
        <w:t>对于服务态度差、制度不落实，</w:t>
      </w:r>
      <w:r>
        <w:rPr>
          <w:rFonts w:ascii="宋体" w:eastAsia="宋体" w:hAnsi="宋体" w:cs="宋体" w:hint="eastAsia"/>
          <w:b/>
          <w:bCs/>
          <w:szCs w:val="21"/>
          <w:highlight w:val="yellow"/>
          <w:u w:val="double"/>
          <w:lang w:val="en-US" w:eastAsia="zh-CN"/>
        </w:rPr>
        <w:t>派驻人员在工作期间存在违反拘留所工作纪律或规定的，经评估</w:t>
      </w:r>
      <w:r>
        <w:rPr>
          <w:rFonts w:ascii="宋体" w:eastAsia="宋体" w:hAnsi="宋体" w:cs="宋体" w:hint="eastAsia"/>
          <w:b/>
          <w:bCs/>
          <w:szCs w:val="21"/>
          <w:highlight w:val="yellow"/>
          <w:u w:val="double"/>
        </w:rPr>
        <w:t>不</w:t>
      </w:r>
      <w:r>
        <w:rPr>
          <w:rFonts w:ascii="宋体" w:eastAsia="宋体" w:hAnsi="宋体" w:cs="宋体" w:hint="eastAsia"/>
          <w:b/>
          <w:bCs/>
          <w:szCs w:val="21"/>
          <w:highlight w:val="yellow"/>
          <w:u w:val="double"/>
          <w:lang w:val="en-US" w:eastAsia="zh-CN"/>
        </w:rPr>
        <w:t>适宜</w:t>
      </w:r>
      <w:r>
        <w:rPr>
          <w:rFonts w:ascii="宋体" w:eastAsia="宋体" w:hAnsi="宋体" w:cs="宋体" w:hint="eastAsia"/>
          <w:b/>
          <w:bCs/>
          <w:szCs w:val="21"/>
          <w:highlight w:val="yellow"/>
          <w:u w:val="double"/>
        </w:rPr>
        <w:t>继续在拘留场所</w:t>
      </w:r>
      <w:r>
        <w:rPr>
          <w:rFonts w:ascii="宋体" w:eastAsia="宋体" w:hAnsi="宋体" w:cs="宋体" w:hint="eastAsia"/>
          <w:b/>
          <w:bCs/>
          <w:szCs w:val="21"/>
          <w:highlight w:val="yellow"/>
          <w:u w:val="double"/>
          <w:lang w:val="en-US" w:eastAsia="zh-CN"/>
        </w:rPr>
        <w:t>从事医疗服务</w:t>
      </w:r>
      <w:r>
        <w:rPr>
          <w:rFonts w:ascii="宋体" w:eastAsia="宋体" w:hAnsi="宋体" w:cs="宋体" w:hint="eastAsia"/>
          <w:b/>
          <w:bCs/>
          <w:szCs w:val="21"/>
          <w:highlight w:val="yellow"/>
          <w:u w:val="double"/>
        </w:rPr>
        <w:t>的医护人员或者</w:t>
      </w:r>
      <w:r>
        <w:rPr>
          <w:rFonts w:ascii="宋体" w:eastAsia="宋体" w:hAnsi="宋体" w:cs="宋体" w:hint="eastAsia"/>
          <w:b/>
          <w:bCs/>
          <w:szCs w:val="21"/>
          <w:highlight w:val="yellow"/>
          <w:u w:val="double"/>
          <w:lang w:val="en-US" w:eastAsia="zh-CN"/>
        </w:rPr>
        <w:t>拘留所</w:t>
      </w:r>
      <w:r>
        <w:rPr>
          <w:rFonts w:ascii="宋体" w:eastAsia="宋体" w:hAnsi="宋体" w:cs="宋体" w:hint="eastAsia"/>
          <w:b/>
          <w:bCs/>
          <w:szCs w:val="21"/>
          <w:highlight w:val="yellow"/>
          <w:u w:val="double"/>
        </w:rPr>
        <w:t>提出更换医护人员建议的</w:t>
      </w:r>
      <w:r>
        <w:rPr>
          <w:rFonts w:ascii="宋体" w:eastAsia="宋体" w:hAnsi="宋体" w:cs="宋体" w:hint="eastAsia"/>
          <w:b/>
          <w:bCs/>
          <w:szCs w:val="21"/>
          <w:highlight w:val="yellow"/>
          <w:u w:val="double"/>
          <w:lang w:val="en-US" w:eastAsia="zh-CN"/>
        </w:rPr>
        <w:t>，在拘留所发函至中标单位后，中标单位需在三十日（日历日）内对相关人员进行更换。</w:t>
      </w:r>
    </w:p>
    <w:p>
      <w:pPr>
        <w:spacing w:line="360" w:lineRule="auto"/>
        <w:ind w:firstLine="420" w:firstLineChars="200"/>
        <w:jc w:val="left"/>
        <w:rPr>
          <w:rFonts w:ascii="宋体" w:eastAsia="宋体" w:hAnsi="宋体" w:cs="Times New Roman" w:hint="eastAsia"/>
          <w:b/>
          <w:bCs/>
          <w:szCs w:val="21"/>
          <w:highlight w:val="none"/>
          <w:lang w:val="en-US" w:eastAsia="zh-CN"/>
        </w:rPr>
      </w:pPr>
      <w:r>
        <w:rPr>
          <w:rFonts w:ascii="宋体" w:eastAsia="宋体" w:hAnsi="宋体" w:cs="Times New Roman" w:hint="eastAsia"/>
          <w:b/>
          <w:bCs/>
          <w:szCs w:val="21"/>
          <w:highlight w:val="none"/>
          <w:lang w:val="en-US" w:eastAsia="zh-CN"/>
        </w:rPr>
        <w:t>3.人员配备</w:t>
      </w:r>
    </w:p>
    <w:p>
      <w:pPr>
        <w:spacing w:line="360" w:lineRule="auto"/>
        <w:ind w:firstLine="420" w:firstLineChars="200"/>
        <w:jc w:val="left"/>
        <w:rPr>
          <w:rFonts w:ascii="宋体" w:eastAsia="宋体" w:hAnsi="宋体" w:cs="Times New Roman" w:hint="eastAsia"/>
          <w:b/>
          <w:bCs/>
          <w:szCs w:val="21"/>
          <w:highlight w:val="yellow"/>
        </w:rPr>
      </w:pPr>
      <w:r>
        <w:rPr>
          <w:rFonts w:ascii="宋体" w:hAnsi="宋体" w:cs="Times New Roman" w:hint="eastAsia"/>
          <w:szCs w:val="21"/>
          <w:highlight w:val="yellow"/>
          <w:lang w:val="en-US" w:eastAsia="zh-CN"/>
        </w:rPr>
        <w:t>★</w:t>
      </w:r>
      <w:r>
        <w:rPr>
          <w:rFonts w:ascii="宋体" w:eastAsia="宋体" w:hAnsi="宋体" w:cs="Times New Roman" w:hint="eastAsia"/>
          <w:b/>
          <w:bCs/>
          <w:szCs w:val="21"/>
          <w:highlight w:val="yellow"/>
        </w:rPr>
        <w:t>派驻医护人员数量要求：</w:t>
      </w:r>
    </w:p>
    <w:tbl>
      <w:tblPr>
        <w:tblStyle w:val="TableNormal"/>
        <w:tblW w:w="8799" w:type="dxa"/>
        <w:jc w:val="center"/>
        <w:tblLayout w:type="fixed"/>
        <w:tblCellMar>
          <w:top w:w="45" w:type="dxa"/>
          <w:left w:w="96" w:type="dxa"/>
          <w:bottom w:w="45" w:type="dxa"/>
          <w:right w:w="96" w:type="dxa"/>
        </w:tblCellMar>
      </w:tblPr>
      <w:tblGrid>
        <w:gridCol w:w="2585"/>
        <w:gridCol w:w="3107"/>
        <w:gridCol w:w="3107"/>
      </w:tblGrid>
      <w:tr>
        <w:tblPrEx>
          <w:tblW w:w="8799" w:type="dxa"/>
          <w:jc w:val="center"/>
          <w:tblLayout w:type="fixed"/>
          <w:tblCellMar>
            <w:top w:w="45" w:type="dxa"/>
            <w:left w:w="96" w:type="dxa"/>
            <w:bottom w:w="45" w:type="dxa"/>
            <w:right w:w="96" w:type="dxa"/>
          </w:tblCellMar>
        </w:tblPrEx>
        <w:trPr>
          <w:trHeight w:val="0"/>
          <w:tblHeader/>
          <w:jc w:val="center"/>
        </w:trPr>
        <w:tc>
          <w:tcPr>
            <w:tcW w:w="2585" w:type="dxa"/>
            <w:tcBorders>
              <w:top w:val="single" w:sz="4" w:space="0" w:color="000000"/>
              <w:left w:val="single" w:sz="4" w:space="0" w:color="000000"/>
              <w:bottom w:val="single" w:sz="4" w:space="0" w:color="000000"/>
              <w:right w:val="single" w:sz="4" w:space="0" w:color="000000"/>
            </w:tcBorders>
            <w:noWrap w:val="0"/>
            <w:vAlign w:val="center"/>
          </w:tcPr>
          <w:p>
            <w:pPr>
              <w:snapToGrid w:val="0"/>
              <w:spacing w:line="360" w:lineRule="auto"/>
              <w:jc w:val="center"/>
              <w:textAlignment w:val="center"/>
              <w:rPr>
                <w:rFonts w:ascii="宋体" w:eastAsia="宋体" w:hAnsi="宋体" w:cs="宋体" w:hint="eastAsia"/>
                <w:b/>
                <w:bCs/>
                <w:color w:val="auto"/>
                <w:sz w:val="21"/>
                <w:szCs w:val="21"/>
                <w:highlight w:val="yellow"/>
                <w:lang w:eastAsia="zh-CN"/>
              </w:rPr>
            </w:pPr>
            <w:r>
              <w:rPr>
                <w:rFonts w:ascii="宋体" w:hAnsi="宋体" w:cs="宋体" w:hint="eastAsia"/>
                <w:b/>
                <w:bCs/>
                <w:color w:val="auto"/>
                <w:kern w:val="0"/>
                <w:sz w:val="21"/>
                <w:szCs w:val="21"/>
                <w:highlight w:val="yellow"/>
                <w:lang w:eastAsia="zh-CN"/>
              </w:rPr>
              <w:t>监所医疗机构名称</w:t>
            </w:r>
          </w:p>
        </w:tc>
        <w:tc>
          <w:tcPr>
            <w:tcW w:w="3107" w:type="dxa"/>
            <w:tcBorders>
              <w:top w:val="single" w:sz="4" w:space="0" w:color="000000"/>
              <w:left w:val="single" w:sz="4" w:space="0" w:color="000000"/>
              <w:bottom w:val="single" w:sz="4" w:space="0" w:color="000000"/>
              <w:right w:val="single" w:sz="4" w:space="0" w:color="000000"/>
            </w:tcBorders>
            <w:noWrap w:val="0"/>
            <w:vAlign w:val="center"/>
          </w:tcPr>
          <w:p>
            <w:pPr>
              <w:snapToGrid w:val="0"/>
              <w:spacing w:line="360" w:lineRule="auto"/>
              <w:jc w:val="center"/>
              <w:textAlignment w:val="center"/>
              <w:rPr>
                <w:rFonts w:ascii="宋体" w:eastAsia="宋体" w:hAnsi="宋体" w:cs="宋体" w:hint="eastAsia"/>
                <w:b/>
                <w:bCs/>
                <w:color w:val="auto"/>
                <w:sz w:val="21"/>
                <w:szCs w:val="21"/>
                <w:highlight w:val="yellow"/>
                <w:lang w:eastAsia="zh-CN"/>
              </w:rPr>
            </w:pPr>
            <w:r>
              <w:rPr>
                <w:rFonts w:ascii="宋体" w:hAnsi="宋体" w:cs="宋体" w:hint="eastAsia"/>
                <w:b/>
                <w:bCs/>
                <w:color w:val="auto"/>
                <w:kern w:val="0"/>
                <w:sz w:val="21"/>
                <w:szCs w:val="21"/>
                <w:highlight w:val="yellow"/>
                <w:lang w:eastAsia="zh-CN"/>
              </w:rPr>
              <w:t>岗位</w:t>
            </w:r>
          </w:p>
        </w:tc>
        <w:tc>
          <w:tcPr>
            <w:tcW w:w="3107" w:type="dxa"/>
            <w:tcBorders>
              <w:top w:val="single" w:sz="4" w:space="0" w:color="000000"/>
              <w:left w:val="single" w:sz="4" w:space="0" w:color="000000"/>
              <w:bottom w:val="single" w:sz="4" w:space="0" w:color="000000"/>
              <w:right w:val="single" w:sz="4" w:space="0" w:color="000000"/>
            </w:tcBorders>
            <w:noWrap w:val="0"/>
            <w:vAlign w:val="center"/>
          </w:tcPr>
          <w:p>
            <w:pPr>
              <w:snapToGrid w:val="0"/>
              <w:spacing w:line="360" w:lineRule="auto"/>
              <w:jc w:val="center"/>
              <w:textAlignment w:val="center"/>
              <w:rPr>
                <w:rFonts w:ascii="宋体" w:eastAsia="宋体" w:hAnsi="宋体" w:cs="宋体" w:hint="eastAsia"/>
                <w:b/>
                <w:bCs/>
                <w:color w:val="auto"/>
                <w:sz w:val="21"/>
                <w:szCs w:val="21"/>
                <w:highlight w:val="yellow"/>
                <w:lang w:eastAsia="zh-CN"/>
              </w:rPr>
            </w:pPr>
            <w:r>
              <w:rPr>
                <w:rFonts w:ascii="宋体" w:hAnsi="宋体" w:cs="宋体" w:hint="eastAsia"/>
                <w:b/>
                <w:bCs/>
                <w:color w:val="auto"/>
                <w:kern w:val="0"/>
                <w:sz w:val="21"/>
                <w:szCs w:val="21"/>
                <w:highlight w:val="yellow"/>
                <w:u w:val="double"/>
                <w:lang w:eastAsia="zh-CN"/>
              </w:rPr>
              <w:t>配备医务人员</w:t>
            </w:r>
            <w:r>
              <w:rPr>
                <w:rFonts w:ascii="宋体" w:hAnsi="宋体" w:cs="宋体" w:hint="eastAsia"/>
                <w:b/>
                <w:bCs/>
                <w:color w:val="auto"/>
                <w:kern w:val="0"/>
                <w:sz w:val="21"/>
                <w:szCs w:val="21"/>
                <w:highlight w:val="yellow"/>
                <w:u w:val="double"/>
                <w:lang w:val="en-US" w:eastAsia="zh-CN"/>
              </w:rPr>
              <w:t>数量</w:t>
            </w:r>
            <w:r>
              <w:rPr>
                <w:rFonts w:ascii="宋体" w:hAnsi="宋体" w:cs="宋体" w:hint="eastAsia"/>
                <w:b/>
                <w:bCs/>
                <w:color w:val="auto"/>
                <w:kern w:val="0"/>
                <w:sz w:val="21"/>
                <w:szCs w:val="21"/>
                <w:highlight w:val="yellow"/>
                <w:u w:val="double"/>
                <w:lang w:eastAsia="zh-CN"/>
              </w:rPr>
              <w:t>(</w:t>
            </w:r>
            <w:r>
              <w:rPr>
                <w:rFonts w:ascii="宋体" w:hAnsi="宋体" w:cs="宋体" w:hint="eastAsia"/>
                <w:b/>
                <w:bCs/>
                <w:color w:val="auto"/>
                <w:kern w:val="0"/>
                <w:sz w:val="21"/>
                <w:szCs w:val="21"/>
                <w:highlight w:val="yellow"/>
                <w:u w:val="double"/>
                <w:lang w:val="en-US" w:eastAsia="zh-CN"/>
              </w:rPr>
              <w:t>名</w:t>
            </w:r>
            <w:r>
              <w:rPr>
                <w:rFonts w:ascii="宋体" w:hAnsi="宋体" w:cs="宋体" w:hint="eastAsia"/>
                <w:b/>
                <w:bCs/>
                <w:color w:val="auto"/>
                <w:kern w:val="0"/>
                <w:sz w:val="21"/>
                <w:szCs w:val="21"/>
                <w:highlight w:val="yellow"/>
                <w:u w:val="double"/>
                <w:lang w:eastAsia="zh-CN"/>
              </w:rPr>
              <w:t>)</w:t>
            </w:r>
          </w:p>
        </w:tc>
      </w:tr>
      <w:tr>
        <w:tblPrEx>
          <w:tblW w:w="8799" w:type="dxa"/>
          <w:jc w:val="center"/>
          <w:tblLayout w:type="fixed"/>
          <w:tblCellMar>
            <w:top w:w="45" w:type="dxa"/>
            <w:left w:w="96" w:type="dxa"/>
            <w:bottom w:w="45" w:type="dxa"/>
            <w:right w:w="96" w:type="dxa"/>
          </w:tblCellMar>
        </w:tblPrEx>
        <w:trPr>
          <w:trHeight w:val="0"/>
          <w:jc w:val="center"/>
        </w:trPr>
        <w:tc>
          <w:tcPr>
            <w:tcW w:w="2585" w:type="dxa"/>
            <w:vMerge w:val="restart"/>
            <w:tcBorders>
              <w:top w:val="single" w:sz="4" w:space="0" w:color="000000"/>
              <w:left w:val="single" w:sz="4" w:space="0" w:color="000000"/>
              <w:right w:val="single" w:sz="4" w:space="0" w:color="000000"/>
            </w:tcBorders>
            <w:shd w:val="clear" w:color="auto" w:fill="auto"/>
            <w:noWrap w:val="0"/>
            <w:vAlign w:val="center"/>
          </w:tcPr>
          <w:p>
            <w:pPr>
              <w:snapToGrid w:val="0"/>
              <w:spacing w:line="360" w:lineRule="auto"/>
              <w:jc w:val="center"/>
              <w:rPr>
                <w:rFonts w:ascii="宋体" w:eastAsia="宋体" w:hAnsi="宋体" w:cs="宋体" w:hint="default"/>
                <w:b/>
                <w:bCs/>
                <w:color w:val="auto"/>
                <w:sz w:val="21"/>
                <w:szCs w:val="21"/>
                <w:highlight w:val="yellow"/>
                <w:lang w:val="en-US" w:eastAsia="zh-CN"/>
              </w:rPr>
            </w:pPr>
            <w:r>
              <w:rPr>
                <w:rFonts w:ascii="宋体" w:hAnsi="宋体" w:cs="宋体" w:hint="eastAsia"/>
                <w:b/>
                <w:bCs/>
                <w:color w:val="auto"/>
                <w:kern w:val="0"/>
                <w:sz w:val="21"/>
                <w:szCs w:val="21"/>
                <w:highlight w:val="yellow"/>
              </w:rPr>
              <w:t>驻深圳市</w:t>
            </w:r>
            <w:r>
              <w:rPr>
                <w:rFonts w:ascii="宋体" w:hAnsi="宋体" w:cs="宋体" w:hint="eastAsia"/>
                <w:b/>
                <w:bCs/>
                <w:color w:val="auto"/>
                <w:kern w:val="0"/>
                <w:sz w:val="21"/>
                <w:szCs w:val="21"/>
                <w:highlight w:val="yellow"/>
                <w:lang w:val="en-US" w:eastAsia="zh-CN"/>
              </w:rPr>
              <w:t>宝安</w:t>
            </w:r>
            <w:r>
              <w:rPr>
                <w:rFonts w:ascii="宋体" w:hAnsi="宋体" w:cs="宋体" w:hint="eastAsia"/>
                <w:b/>
                <w:bCs/>
                <w:color w:val="auto"/>
                <w:kern w:val="0"/>
                <w:sz w:val="21"/>
                <w:szCs w:val="21"/>
                <w:highlight w:val="yellow"/>
              </w:rPr>
              <w:t>区拘留所医疗机构</w:t>
            </w:r>
            <w:r>
              <w:rPr>
                <w:rFonts w:ascii="宋体" w:hAnsi="宋体" w:cs="宋体" w:hint="eastAsia"/>
                <w:b/>
                <w:bCs/>
                <w:color w:val="auto"/>
                <w:kern w:val="0"/>
                <w:sz w:val="21"/>
                <w:szCs w:val="21"/>
                <w:highlight w:val="yellow"/>
                <w:lang w:val="en-US" w:eastAsia="zh-CN"/>
              </w:rPr>
              <w:t>服务人员</w:t>
            </w:r>
          </w:p>
        </w:tc>
        <w:tc>
          <w:tcPr>
            <w:tcW w:w="3107"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pPr>
              <w:snapToGrid w:val="0"/>
              <w:spacing w:line="360" w:lineRule="auto"/>
              <w:jc w:val="center"/>
              <w:textAlignment w:val="center"/>
              <w:rPr>
                <w:rFonts w:ascii="宋体" w:hAnsi="宋体" w:cs="宋体" w:hint="eastAsia"/>
                <w:b/>
                <w:bCs/>
                <w:color w:val="auto"/>
                <w:kern w:val="0"/>
                <w:sz w:val="21"/>
                <w:szCs w:val="21"/>
                <w:highlight w:val="yellow"/>
                <w:lang w:val="en-US" w:eastAsia="zh-CN"/>
              </w:rPr>
            </w:pPr>
            <w:r>
              <w:rPr>
                <w:rFonts w:ascii="宋体" w:hAnsi="宋体" w:cs="宋体" w:hint="eastAsia"/>
                <w:b/>
                <w:bCs/>
                <w:color w:val="auto"/>
                <w:kern w:val="0"/>
                <w:sz w:val="21"/>
                <w:szCs w:val="21"/>
                <w:highlight w:val="yellow"/>
                <w:lang w:val="en-US" w:eastAsia="zh-CN"/>
              </w:rPr>
              <w:t>执业医</w:t>
            </w:r>
            <w:r>
              <w:rPr>
                <w:rFonts w:ascii="宋体" w:hAnsi="宋体" w:cs="宋体" w:hint="eastAsia"/>
                <w:b/>
                <w:bCs/>
                <w:color w:val="auto"/>
                <w:kern w:val="0"/>
                <w:sz w:val="21"/>
                <w:szCs w:val="21"/>
                <w:highlight w:val="yellow"/>
              </w:rPr>
              <w:t>生</w:t>
            </w:r>
            <w:r>
              <w:rPr>
                <w:rFonts w:ascii="宋体" w:hAnsi="宋体" w:cs="宋体" w:hint="eastAsia"/>
                <w:b/>
                <w:bCs/>
                <w:color w:val="auto"/>
                <w:kern w:val="0"/>
                <w:sz w:val="21"/>
                <w:szCs w:val="21"/>
                <w:highlight w:val="yellow"/>
                <w:lang w:val="en-US" w:eastAsia="zh-CN"/>
              </w:rPr>
              <w:t>（副高级）</w:t>
            </w:r>
          </w:p>
        </w:tc>
        <w:tc>
          <w:tcPr>
            <w:tcW w:w="3107"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pPr>
              <w:snapToGrid w:val="0"/>
              <w:spacing w:line="360" w:lineRule="auto"/>
              <w:jc w:val="center"/>
              <w:textAlignment w:val="center"/>
              <w:rPr>
                <w:rFonts w:ascii="宋体" w:hAnsi="宋体" w:cs="宋体" w:hint="eastAsia"/>
                <w:b/>
                <w:bCs/>
                <w:color w:val="auto"/>
                <w:kern w:val="0"/>
                <w:sz w:val="21"/>
                <w:szCs w:val="21"/>
                <w:highlight w:val="yellow"/>
                <w:lang w:val="en-US" w:eastAsia="zh-CN"/>
              </w:rPr>
            </w:pPr>
            <w:r>
              <w:rPr>
                <w:rFonts w:ascii="宋体" w:hAnsi="宋体" w:cs="宋体" w:hint="eastAsia"/>
                <w:b/>
                <w:bCs/>
                <w:color w:val="auto"/>
                <w:kern w:val="0"/>
                <w:sz w:val="21"/>
                <w:szCs w:val="21"/>
                <w:highlight w:val="yellow"/>
                <w:lang w:val="en-US" w:eastAsia="zh-CN"/>
              </w:rPr>
              <w:t>1</w:t>
            </w:r>
          </w:p>
        </w:tc>
      </w:tr>
      <w:tr>
        <w:tblPrEx>
          <w:tblW w:w="8799" w:type="dxa"/>
          <w:jc w:val="center"/>
          <w:tblLayout w:type="fixed"/>
          <w:tblCellMar>
            <w:top w:w="45" w:type="dxa"/>
            <w:left w:w="96" w:type="dxa"/>
            <w:bottom w:w="45" w:type="dxa"/>
            <w:right w:w="96" w:type="dxa"/>
          </w:tblCellMar>
        </w:tblPrEx>
        <w:trPr>
          <w:trHeight w:val="0"/>
          <w:jc w:val="center"/>
        </w:trPr>
        <w:tc>
          <w:tcPr>
            <w:tcW w:w="2585" w:type="dxa"/>
            <w:vMerge/>
            <w:tcBorders>
              <w:left w:val="single" w:sz="4" w:space="0" w:color="000000"/>
              <w:right w:val="single" w:sz="4" w:space="0" w:color="000000"/>
            </w:tcBorders>
            <w:shd w:val="clear" w:color="auto" w:fill="auto"/>
            <w:noWrap w:val="0"/>
            <w:vAlign w:val="center"/>
          </w:tcPr>
          <w:p>
            <w:pPr>
              <w:snapToGrid w:val="0"/>
              <w:spacing w:line="360" w:lineRule="auto"/>
              <w:jc w:val="center"/>
              <w:rPr>
                <w:rFonts w:ascii="宋体" w:hAnsi="宋体" w:cs="宋体"/>
                <w:b/>
                <w:bCs/>
                <w:color w:val="auto"/>
                <w:sz w:val="21"/>
                <w:szCs w:val="21"/>
                <w:highlight w:val="yellow"/>
              </w:rPr>
            </w:pPr>
          </w:p>
        </w:tc>
        <w:tc>
          <w:tcPr>
            <w:tcW w:w="3107"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pPr>
              <w:snapToGrid w:val="0"/>
              <w:spacing w:line="360" w:lineRule="auto"/>
              <w:jc w:val="center"/>
              <w:textAlignment w:val="center"/>
              <w:rPr>
                <w:rFonts w:ascii="宋体" w:hAnsi="宋体" w:cs="宋体" w:hint="eastAsia"/>
                <w:b/>
                <w:bCs/>
                <w:color w:val="auto"/>
                <w:kern w:val="0"/>
                <w:sz w:val="21"/>
                <w:szCs w:val="21"/>
                <w:highlight w:val="yellow"/>
                <w:lang w:eastAsia="zh-CN"/>
              </w:rPr>
            </w:pPr>
            <w:r>
              <w:rPr>
                <w:rFonts w:ascii="宋体" w:hAnsi="宋体" w:cs="宋体" w:hint="eastAsia"/>
                <w:b/>
                <w:bCs/>
                <w:color w:val="auto"/>
                <w:kern w:val="0"/>
                <w:sz w:val="21"/>
                <w:szCs w:val="21"/>
                <w:highlight w:val="yellow"/>
                <w:lang w:val="en-US" w:eastAsia="zh-CN"/>
              </w:rPr>
              <w:t>执业</w:t>
            </w:r>
            <w:r>
              <w:rPr>
                <w:rFonts w:ascii="宋体" w:hAnsi="宋体" w:cs="宋体" w:hint="eastAsia"/>
                <w:b/>
                <w:bCs/>
                <w:color w:val="auto"/>
                <w:kern w:val="0"/>
                <w:sz w:val="21"/>
                <w:szCs w:val="21"/>
                <w:highlight w:val="yellow"/>
              </w:rPr>
              <w:t>医生</w:t>
            </w:r>
            <w:r>
              <w:rPr>
                <w:rFonts w:ascii="宋体" w:hAnsi="宋体" w:cs="宋体" w:hint="eastAsia"/>
                <w:b/>
                <w:bCs/>
                <w:color w:val="auto"/>
                <w:kern w:val="0"/>
                <w:sz w:val="21"/>
                <w:szCs w:val="21"/>
                <w:highlight w:val="yellow"/>
                <w:lang w:eastAsia="zh-CN"/>
              </w:rPr>
              <w:t>（</w:t>
            </w:r>
            <w:r>
              <w:rPr>
                <w:rFonts w:ascii="宋体" w:hAnsi="宋体" w:cs="宋体" w:hint="eastAsia"/>
                <w:b/>
                <w:bCs/>
                <w:color w:val="auto"/>
                <w:kern w:val="0"/>
                <w:sz w:val="21"/>
                <w:szCs w:val="21"/>
                <w:highlight w:val="yellow"/>
                <w:lang w:val="en-US" w:eastAsia="zh-CN"/>
              </w:rPr>
              <w:t>中级</w:t>
            </w:r>
            <w:r>
              <w:rPr>
                <w:rFonts w:ascii="宋体" w:hAnsi="宋体" w:cs="宋体" w:hint="eastAsia"/>
                <w:b/>
                <w:bCs/>
                <w:color w:val="auto"/>
                <w:kern w:val="0"/>
                <w:sz w:val="21"/>
                <w:szCs w:val="21"/>
                <w:highlight w:val="yellow"/>
                <w:lang w:eastAsia="zh-CN"/>
              </w:rPr>
              <w:t>）</w:t>
            </w:r>
          </w:p>
        </w:tc>
        <w:tc>
          <w:tcPr>
            <w:tcW w:w="3107"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pPr>
              <w:snapToGrid w:val="0"/>
              <w:spacing w:line="360" w:lineRule="auto"/>
              <w:jc w:val="center"/>
              <w:textAlignment w:val="center"/>
              <w:rPr>
                <w:rFonts w:ascii="宋体" w:hAnsi="宋体" w:cs="宋体" w:hint="eastAsia"/>
                <w:b/>
                <w:bCs/>
                <w:color w:val="auto"/>
                <w:kern w:val="0"/>
                <w:sz w:val="21"/>
                <w:szCs w:val="21"/>
                <w:highlight w:val="yellow"/>
                <w:u w:val="double"/>
                <w:lang w:eastAsia="zh-CN"/>
              </w:rPr>
            </w:pPr>
            <w:r>
              <w:rPr>
                <w:rFonts w:ascii="宋体" w:hAnsi="宋体" w:cs="宋体" w:hint="eastAsia"/>
                <w:b/>
                <w:bCs/>
                <w:color w:val="auto"/>
                <w:kern w:val="0"/>
                <w:sz w:val="21"/>
                <w:szCs w:val="21"/>
                <w:highlight w:val="yellow"/>
                <w:u w:val="double"/>
                <w:lang w:val="en-US" w:eastAsia="zh-CN"/>
              </w:rPr>
              <w:t>4</w:t>
            </w:r>
          </w:p>
        </w:tc>
      </w:tr>
      <w:tr>
        <w:tblPrEx>
          <w:tblW w:w="8799" w:type="dxa"/>
          <w:jc w:val="center"/>
          <w:tblLayout w:type="fixed"/>
          <w:tblCellMar>
            <w:top w:w="45" w:type="dxa"/>
            <w:left w:w="96" w:type="dxa"/>
            <w:bottom w:w="45" w:type="dxa"/>
            <w:right w:w="96" w:type="dxa"/>
          </w:tblCellMar>
        </w:tblPrEx>
        <w:trPr>
          <w:trHeight w:val="0"/>
          <w:jc w:val="center"/>
        </w:trPr>
        <w:tc>
          <w:tcPr>
            <w:tcW w:w="2585" w:type="dxa"/>
            <w:vMerge/>
            <w:tcBorders>
              <w:left w:val="single" w:sz="4" w:space="0" w:color="000000"/>
              <w:right w:val="single" w:sz="4" w:space="0" w:color="000000"/>
            </w:tcBorders>
            <w:shd w:val="clear" w:color="auto" w:fill="auto"/>
            <w:noWrap w:val="0"/>
            <w:vAlign w:val="center"/>
          </w:tcPr>
          <w:p>
            <w:pPr>
              <w:snapToGrid w:val="0"/>
              <w:spacing w:line="360" w:lineRule="auto"/>
              <w:jc w:val="center"/>
              <w:rPr>
                <w:rFonts w:ascii="宋体" w:hAnsi="宋体" w:cs="宋体"/>
                <w:b/>
                <w:bCs/>
                <w:color w:val="auto"/>
                <w:sz w:val="21"/>
                <w:szCs w:val="21"/>
                <w:highlight w:val="yellow"/>
              </w:rPr>
            </w:pPr>
          </w:p>
        </w:tc>
        <w:tc>
          <w:tcPr>
            <w:tcW w:w="3107"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pPr>
              <w:snapToGrid w:val="0"/>
              <w:spacing w:line="360" w:lineRule="auto"/>
              <w:jc w:val="center"/>
              <w:textAlignment w:val="center"/>
              <w:rPr>
                <w:rFonts w:ascii="宋体" w:hAnsi="宋体" w:cs="宋体" w:hint="default"/>
                <w:b/>
                <w:bCs/>
                <w:color w:val="auto"/>
                <w:kern w:val="0"/>
                <w:sz w:val="21"/>
                <w:szCs w:val="21"/>
                <w:highlight w:val="yellow"/>
                <w:lang w:val="en-US" w:eastAsia="zh-CN"/>
              </w:rPr>
            </w:pPr>
            <w:r>
              <w:rPr>
                <w:rFonts w:ascii="宋体" w:hAnsi="宋体" w:cs="宋体" w:hint="eastAsia"/>
                <w:b/>
                <w:bCs/>
                <w:color w:val="auto"/>
                <w:kern w:val="0"/>
                <w:sz w:val="21"/>
                <w:szCs w:val="21"/>
                <w:highlight w:val="yellow"/>
                <w:lang w:val="en-US" w:eastAsia="zh-CN"/>
              </w:rPr>
              <w:t>执业医</w:t>
            </w:r>
            <w:r>
              <w:rPr>
                <w:rFonts w:ascii="宋体" w:hAnsi="宋体" w:cs="宋体" w:hint="eastAsia"/>
                <w:b/>
                <w:bCs/>
                <w:color w:val="auto"/>
                <w:kern w:val="0"/>
                <w:sz w:val="21"/>
                <w:szCs w:val="21"/>
                <w:highlight w:val="yellow"/>
              </w:rPr>
              <w:t>生</w:t>
            </w:r>
            <w:r>
              <w:rPr>
                <w:rFonts w:ascii="宋体" w:hAnsi="宋体" w:cs="宋体" w:hint="eastAsia"/>
                <w:b/>
                <w:bCs/>
                <w:color w:val="auto"/>
                <w:kern w:val="0"/>
                <w:sz w:val="21"/>
                <w:szCs w:val="21"/>
                <w:highlight w:val="yellow"/>
                <w:lang w:val="en-US" w:eastAsia="zh-CN"/>
              </w:rPr>
              <w:t>（初级）</w:t>
            </w:r>
          </w:p>
        </w:tc>
        <w:tc>
          <w:tcPr>
            <w:tcW w:w="3107"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pPr>
              <w:snapToGrid w:val="0"/>
              <w:spacing w:line="360" w:lineRule="auto"/>
              <w:jc w:val="center"/>
              <w:textAlignment w:val="center"/>
              <w:rPr>
                <w:rFonts w:ascii="宋体" w:hAnsi="宋体" w:cs="宋体" w:hint="default"/>
                <w:b/>
                <w:bCs/>
                <w:color w:val="auto"/>
                <w:kern w:val="0"/>
                <w:sz w:val="21"/>
                <w:szCs w:val="21"/>
                <w:highlight w:val="yellow"/>
                <w:u w:val="double"/>
                <w:lang w:val="en-US" w:eastAsia="zh-CN"/>
              </w:rPr>
            </w:pPr>
            <w:r>
              <w:rPr>
                <w:rFonts w:ascii="宋体" w:hAnsi="宋体" w:cs="宋体" w:hint="eastAsia"/>
                <w:b/>
                <w:bCs/>
                <w:color w:val="auto"/>
                <w:kern w:val="0"/>
                <w:sz w:val="21"/>
                <w:szCs w:val="21"/>
                <w:highlight w:val="yellow"/>
                <w:u w:val="double"/>
                <w:lang w:val="en-US" w:eastAsia="zh-CN"/>
              </w:rPr>
              <w:t>2</w:t>
            </w:r>
          </w:p>
        </w:tc>
      </w:tr>
      <w:tr>
        <w:tblPrEx>
          <w:tblW w:w="8799" w:type="dxa"/>
          <w:jc w:val="center"/>
          <w:tblLayout w:type="fixed"/>
          <w:tblCellMar>
            <w:top w:w="45" w:type="dxa"/>
            <w:left w:w="96" w:type="dxa"/>
            <w:bottom w:w="45" w:type="dxa"/>
            <w:right w:w="96" w:type="dxa"/>
          </w:tblCellMar>
        </w:tblPrEx>
        <w:trPr>
          <w:trHeight w:val="0"/>
          <w:jc w:val="center"/>
        </w:trPr>
        <w:tc>
          <w:tcPr>
            <w:tcW w:w="2585" w:type="dxa"/>
            <w:vMerge/>
            <w:tcBorders>
              <w:left w:val="single" w:sz="4" w:space="0" w:color="000000"/>
              <w:right w:val="single" w:sz="4" w:space="0" w:color="000000"/>
            </w:tcBorders>
            <w:shd w:val="clear" w:color="auto" w:fill="auto"/>
            <w:noWrap w:val="0"/>
            <w:vAlign w:val="center"/>
          </w:tcPr>
          <w:p>
            <w:pPr>
              <w:snapToGrid w:val="0"/>
              <w:spacing w:line="360" w:lineRule="auto"/>
              <w:jc w:val="center"/>
              <w:rPr>
                <w:rFonts w:ascii="宋体" w:hAnsi="宋体" w:cs="宋体"/>
                <w:b/>
                <w:bCs/>
                <w:color w:val="auto"/>
                <w:sz w:val="21"/>
                <w:szCs w:val="21"/>
                <w:highlight w:val="yellow"/>
              </w:rPr>
            </w:pPr>
          </w:p>
        </w:tc>
        <w:tc>
          <w:tcPr>
            <w:tcW w:w="3107"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pPr>
              <w:snapToGrid w:val="0"/>
              <w:spacing w:line="360" w:lineRule="auto"/>
              <w:jc w:val="center"/>
              <w:textAlignment w:val="center"/>
              <w:rPr>
                <w:rFonts w:ascii="宋体" w:eastAsia="宋体" w:hAnsi="宋体" w:cs="宋体" w:hint="eastAsia"/>
                <w:b/>
                <w:bCs/>
                <w:color w:val="auto"/>
                <w:kern w:val="0"/>
                <w:sz w:val="21"/>
                <w:szCs w:val="21"/>
                <w:highlight w:val="yellow"/>
                <w:lang w:eastAsia="zh-CN"/>
              </w:rPr>
            </w:pPr>
            <w:r>
              <w:rPr>
                <w:rFonts w:ascii="宋体" w:hAnsi="宋体" w:cs="宋体" w:hint="eastAsia"/>
                <w:b/>
                <w:bCs/>
                <w:color w:val="auto"/>
                <w:kern w:val="0"/>
                <w:sz w:val="21"/>
                <w:szCs w:val="21"/>
                <w:highlight w:val="yellow"/>
              </w:rPr>
              <w:t>护士</w:t>
            </w:r>
            <w:r>
              <w:rPr>
                <w:rFonts w:ascii="宋体" w:hAnsi="宋体" w:cs="宋体" w:hint="eastAsia"/>
                <w:b/>
                <w:bCs/>
                <w:color w:val="auto"/>
                <w:kern w:val="0"/>
                <w:sz w:val="21"/>
                <w:szCs w:val="21"/>
                <w:highlight w:val="yellow"/>
                <w:lang w:eastAsia="zh-CN"/>
              </w:rPr>
              <w:t>（</w:t>
            </w:r>
            <w:r>
              <w:rPr>
                <w:rFonts w:ascii="宋体" w:hAnsi="宋体" w:cs="宋体" w:hint="eastAsia"/>
                <w:b/>
                <w:bCs/>
                <w:color w:val="auto"/>
                <w:kern w:val="0"/>
                <w:sz w:val="21"/>
                <w:szCs w:val="21"/>
                <w:highlight w:val="yellow"/>
                <w:lang w:val="en-US" w:eastAsia="zh-CN"/>
              </w:rPr>
              <w:t>中级</w:t>
            </w:r>
            <w:r>
              <w:rPr>
                <w:rFonts w:ascii="宋体" w:hAnsi="宋体" w:cs="宋体" w:hint="eastAsia"/>
                <w:b/>
                <w:bCs/>
                <w:color w:val="auto"/>
                <w:kern w:val="0"/>
                <w:sz w:val="21"/>
                <w:szCs w:val="21"/>
                <w:highlight w:val="yellow"/>
                <w:lang w:eastAsia="zh-CN"/>
              </w:rPr>
              <w:t>）</w:t>
            </w:r>
          </w:p>
        </w:tc>
        <w:tc>
          <w:tcPr>
            <w:tcW w:w="3107"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pPr>
              <w:snapToGrid w:val="0"/>
              <w:spacing w:line="360" w:lineRule="auto"/>
              <w:jc w:val="center"/>
              <w:textAlignment w:val="center"/>
              <w:rPr>
                <w:rFonts w:ascii="宋体" w:hAnsi="宋体" w:cs="宋体" w:hint="eastAsia"/>
                <w:b/>
                <w:bCs/>
                <w:color w:val="auto"/>
                <w:kern w:val="0"/>
                <w:sz w:val="21"/>
                <w:szCs w:val="21"/>
                <w:highlight w:val="yellow"/>
                <w:lang w:eastAsia="zh-CN"/>
              </w:rPr>
            </w:pPr>
            <w:r>
              <w:rPr>
                <w:rFonts w:ascii="宋体" w:hAnsi="宋体" w:cs="宋体" w:hint="eastAsia"/>
                <w:b/>
                <w:bCs/>
                <w:color w:val="auto"/>
                <w:kern w:val="0"/>
                <w:sz w:val="21"/>
                <w:szCs w:val="21"/>
                <w:highlight w:val="yellow"/>
                <w:lang w:val="en-US" w:eastAsia="zh-CN"/>
              </w:rPr>
              <w:t>1</w:t>
            </w:r>
          </w:p>
        </w:tc>
      </w:tr>
      <w:tr>
        <w:tblPrEx>
          <w:tblW w:w="8799" w:type="dxa"/>
          <w:jc w:val="center"/>
          <w:tblLayout w:type="fixed"/>
          <w:tblCellMar>
            <w:top w:w="45" w:type="dxa"/>
            <w:left w:w="96" w:type="dxa"/>
            <w:bottom w:w="45" w:type="dxa"/>
            <w:right w:w="96" w:type="dxa"/>
          </w:tblCellMar>
        </w:tblPrEx>
        <w:trPr>
          <w:trHeight w:val="0"/>
          <w:jc w:val="center"/>
        </w:trPr>
        <w:tc>
          <w:tcPr>
            <w:tcW w:w="2585" w:type="dxa"/>
            <w:vMerge/>
            <w:tcBorders>
              <w:left w:val="single" w:sz="4" w:space="0" w:color="000000"/>
              <w:right w:val="single" w:sz="4" w:space="0" w:color="000000"/>
            </w:tcBorders>
            <w:shd w:val="clear" w:color="auto" w:fill="auto"/>
            <w:noWrap w:val="0"/>
            <w:vAlign w:val="center"/>
          </w:tcPr>
          <w:p>
            <w:pPr>
              <w:snapToGrid w:val="0"/>
              <w:spacing w:line="360" w:lineRule="auto"/>
              <w:jc w:val="center"/>
              <w:rPr>
                <w:rFonts w:ascii="宋体" w:hAnsi="宋体" w:cs="宋体"/>
                <w:b/>
                <w:bCs/>
                <w:color w:val="auto"/>
                <w:sz w:val="21"/>
                <w:szCs w:val="21"/>
                <w:highlight w:val="yellow"/>
              </w:rPr>
            </w:pPr>
          </w:p>
        </w:tc>
        <w:tc>
          <w:tcPr>
            <w:tcW w:w="3107"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pPr>
              <w:snapToGrid w:val="0"/>
              <w:spacing w:line="360" w:lineRule="auto"/>
              <w:jc w:val="center"/>
              <w:textAlignment w:val="center"/>
              <w:rPr>
                <w:rFonts w:ascii="宋体" w:eastAsia="宋体" w:hAnsi="宋体" w:cs="宋体" w:hint="eastAsia"/>
                <w:b/>
                <w:bCs/>
                <w:color w:val="auto"/>
                <w:kern w:val="0"/>
                <w:sz w:val="21"/>
                <w:szCs w:val="21"/>
                <w:highlight w:val="yellow"/>
                <w:lang w:val="en-US" w:eastAsia="zh-CN"/>
              </w:rPr>
            </w:pPr>
            <w:r>
              <w:rPr>
                <w:rFonts w:ascii="宋体" w:hAnsi="宋体" w:cs="宋体" w:hint="eastAsia"/>
                <w:b/>
                <w:bCs/>
                <w:color w:val="auto"/>
                <w:kern w:val="0"/>
                <w:sz w:val="21"/>
                <w:szCs w:val="21"/>
                <w:highlight w:val="yellow"/>
                <w:lang w:val="en-US" w:eastAsia="zh-CN"/>
              </w:rPr>
              <w:t>护士（初级）</w:t>
            </w:r>
          </w:p>
        </w:tc>
        <w:tc>
          <w:tcPr>
            <w:tcW w:w="3107"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pPr>
              <w:snapToGrid w:val="0"/>
              <w:spacing w:line="360" w:lineRule="auto"/>
              <w:jc w:val="center"/>
              <w:textAlignment w:val="center"/>
              <w:rPr>
                <w:rFonts w:ascii="宋体" w:hAnsi="宋体" w:cs="宋体" w:hint="default"/>
                <w:b/>
                <w:bCs/>
                <w:color w:val="auto"/>
                <w:kern w:val="0"/>
                <w:sz w:val="21"/>
                <w:szCs w:val="21"/>
                <w:highlight w:val="yellow"/>
                <w:lang w:val="en-US" w:eastAsia="zh-CN"/>
              </w:rPr>
            </w:pPr>
            <w:r>
              <w:rPr>
                <w:rFonts w:ascii="宋体" w:hAnsi="宋体" w:cs="宋体" w:hint="eastAsia"/>
                <w:b/>
                <w:bCs/>
                <w:color w:val="auto"/>
                <w:kern w:val="0"/>
                <w:sz w:val="21"/>
                <w:szCs w:val="21"/>
                <w:highlight w:val="yellow"/>
                <w:lang w:val="en-US" w:eastAsia="zh-CN"/>
              </w:rPr>
              <w:t>3</w:t>
            </w:r>
          </w:p>
        </w:tc>
      </w:tr>
      <w:tr>
        <w:tblPrEx>
          <w:tblW w:w="8799" w:type="dxa"/>
          <w:jc w:val="center"/>
          <w:tblLayout w:type="fixed"/>
          <w:tblCellMar>
            <w:top w:w="45" w:type="dxa"/>
            <w:left w:w="96" w:type="dxa"/>
            <w:bottom w:w="45" w:type="dxa"/>
            <w:right w:w="96" w:type="dxa"/>
          </w:tblCellMar>
        </w:tblPrEx>
        <w:trPr>
          <w:trHeight w:val="0"/>
          <w:jc w:val="center"/>
        </w:trPr>
        <w:tc>
          <w:tcPr>
            <w:tcW w:w="2585" w:type="dxa"/>
            <w:vMerge/>
            <w:tcBorders>
              <w:left w:val="single" w:sz="4" w:space="0" w:color="000000"/>
              <w:right w:val="single" w:sz="4" w:space="0" w:color="000000"/>
            </w:tcBorders>
            <w:shd w:val="clear" w:color="auto" w:fill="auto"/>
            <w:noWrap w:val="0"/>
            <w:vAlign w:val="center"/>
          </w:tcPr>
          <w:p>
            <w:pPr>
              <w:snapToGrid w:val="0"/>
              <w:spacing w:line="360" w:lineRule="auto"/>
              <w:jc w:val="center"/>
              <w:rPr>
                <w:rFonts w:ascii="宋体" w:hAnsi="宋体" w:cs="宋体"/>
                <w:b/>
                <w:bCs/>
                <w:color w:val="auto"/>
                <w:sz w:val="21"/>
                <w:szCs w:val="21"/>
                <w:highlight w:val="yellow"/>
              </w:rPr>
            </w:pPr>
          </w:p>
        </w:tc>
        <w:tc>
          <w:tcPr>
            <w:tcW w:w="3107"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pPr>
              <w:snapToGrid w:val="0"/>
              <w:spacing w:line="360" w:lineRule="auto"/>
              <w:jc w:val="center"/>
              <w:textAlignment w:val="center"/>
              <w:rPr>
                <w:rFonts w:ascii="宋体" w:hAnsi="宋体" w:cs="宋体" w:hint="eastAsia"/>
                <w:b/>
                <w:bCs/>
                <w:color w:val="auto"/>
                <w:kern w:val="0"/>
                <w:sz w:val="21"/>
                <w:szCs w:val="21"/>
                <w:highlight w:val="yellow"/>
              </w:rPr>
            </w:pPr>
            <w:r>
              <w:rPr>
                <w:rFonts w:ascii="宋体" w:hAnsi="宋体" w:cs="宋体" w:hint="eastAsia"/>
                <w:b/>
                <w:bCs/>
                <w:color w:val="auto"/>
                <w:kern w:val="0"/>
                <w:sz w:val="21"/>
                <w:szCs w:val="21"/>
                <w:highlight w:val="yellow"/>
                <w:lang w:val="en-US" w:eastAsia="zh-CN"/>
              </w:rPr>
              <w:t>药剂</w:t>
            </w:r>
            <w:r>
              <w:rPr>
                <w:rFonts w:ascii="宋体" w:hAnsi="宋体" w:cs="宋体" w:hint="eastAsia"/>
                <w:b/>
                <w:bCs/>
                <w:color w:val="auto"/>
                <w:kern w:val="0"/>
                <w:sz w:val="21"/>
                <w:szCs w:val="21"/>
                <w:highlight w:val="yellow"/>
              </w:rPr>
              <w:t>师(</w:t>
            </w:r>
            <w:r>
              <w:rPr>
                <w:rFonts w:ascii="宋体" w:hAnsi="宋体" w:cs="宋体" w:hint="eastAsia"/>
                <w:b/>
                <w:bCs/>
                <w:color w:val="auto"/>
                <w:kern w:val="0"/>
                <w:sz w:val="21"/>
                <w:szCs w:val="21"/>
                <w:highlight w:val="yellow"/>
                <w:lang w:val="en-US" w:eastAsia="zh-CN"/>
              </w:rPr>
              <w:t>初级</w:t>
            </w:r>
            <w:r>
              <w:rPr>
                <w:rFonts w:ascii="宋体" w:hAnsi="宋体" w:cs="宋体" w:hint="eastAsia"/>
                <w:b/>
                <w:bCs/>
                <w:color w:val="auto"/>
                <w:kern w:val="0"/>
                <w:sz w:val="21"/>
                <w:szCs w:val="21"/>
                <w:highlight w:val="yellow"/>
              </w:rPr>
              <w:t>)</w:t>
            </w:r>
          </w:p>
        </w:tc>
        <w:tc>
          <w:tcPr>
            <w:tcW w:w="3107"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pPr>
              <w:snapToGrid w:val="0"/>
              <w:spacing w:line="360" w:lineRule="auto"/>
              <w:jc w:val="center"/>
              <w:textAlignment w:val="center"/>
              <w:rPr>
                <w:rFonts w:ascii="宋体" w:hAnsi="宋体" w:cs="宋体" w:hint="eastAsia"/>
                <w:b/>
                <w:bCs/>
                <w:color w:val="auto"/>
                <w:kern w:val="0"/>
                <w:sz w:val="21"/>
                <w:szCs w:val="21"/>
                <w:highlight w:val="yellow"/>
                <w:lang w:val="en-US" w:eastAsia="zh-CN"/>
              </w:rPr>
            </w:pPr>
            <w:r>
              <w:rPr>
                <w:rFonts w:ascii="宋体" w:hAnsi="宋体" w:cs="宋体" w:hint="eastAsia"/>
                <w:b/>
                <w:bCs/>
                <w:color w:val="auto"/>
                <w:kern w:val="0"/>
                <w:sz w:val="21"/>
                <w:szCs w:val="21"/>
                <w:highlight w:val="yellow"/>
                <w:lang w:val="en-US" w:eastAsia="zh-CN"/>
              </w:rPr>
              <w:t>1</w:t>
            </w:r>
          </w:p>
        </w:tc>
      </w:tr>
      <w:tr>
        <w:tblPrEx>
          <w:tblW w:w="8799" w:type="dxa"/>
          <w:jc w:val="center"/>
          <w:tblLayout w:type="fixed"/>
          <w:tblCellMar>
            <w:top w:w="45" w:type="dxa"/>
            <w:left w:w="96" w:type="dxa"/>
            <w:bottom w:w="45" w:type="dxa"/>
            <w:right w:w="96" w:type="dxa"/>
          </w:tblCellMar>
        </w:tblPrEx>
        <w:trPr>
          <w:trHeight w:val="0"/>
          <w:jc w:val="center"/>
        </w:trPr>
        <w:tc>
          <w:tcPr>
            <w:tcW w:w="2585" w:type="dxa"/>
            <w:vMerge/>
            <w:tcBorders>
              <w:left w:val="single" w:sz="4" w:space="0" w:color="000000"/>
              <w:bottom w:val="single" w:sz="4" w:space="0" w:color="000000"/>
              <w:right w:val="single" w:sz="4" w:space="0" w:color="000000"/>
            </w:tcBorders>
            <w:shd w:val="clear" w:color="auto" w:fill="auto"/>
            <w:noWrap w:val="0"/>
            <w:vAlign w:val="center"/>
          </w:tcPr>
          <w:p>
            <w:pPr>
              <w:snapToGrid w:val="0"/>
              <w:spacing w:line="360" w:lineRule="auto"/>
              <w:jc w:val="center"/>
              <w:rPr>
                <w:rFonts w:ascii="宋体" w:hAnsi="宋体" w:cs="宋体"/>
                <w:b/>
                <w:bCs/>
                <w:color w:val="auto"/>
                <w:sz w:val="21"/>
                <w:szCs w:val="21"/>
                <w:highlight w:val="yellow"/>
              </w:rPr>
            </w:pPr>
          </w:p>
        </w:tc>
        <w:tc>
          <w:tcPr>
            <w:tcW w:w="3107"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pPr>
              <w:snapToGrid w:val="0"/>
              <w:spacing w:line="360" w:lineRule="auto"/>
              <w:jc w:val="center"/>
              <w:textAlignment w:val="center"/>
              <w:rPr>
                <w:rFonts w:ascii="宋体" w:hAnsi="宋体" w:cs="宋体" w:hint="eastAsia"/>
                <w:b/>
                <w:bCs/>
                <w:color w:val="auto"/>
                <w:kern w:val="0"/>
                <w:sz w:val="21"/>
                <w:szCs w:val="21"/>
                <w:highlight w:val="yellow"/>
              </w:rPr>
            </w:pPr>
            <w:r>
              <w:rPr>
                <w:rFonts w:ascii="宋体" w:hAnsi="宋体" w:cs="宋体" w:hint="eastAsia"/>
                <w:b/>
                <w:bCs/>
                <w:color w:val="auto"/>
                <w:kern w:val="0"/>
                <w:sz w:val="21"/>
                <w:szCs w:val="21"/>
                <w:highlight w:val="yellow"/>
              </w:rPr>
              <w:t>小计</w:t>
            </w:r>
          </w:p>
        </w:tc>
        <w:tc>
          <w:tcPr>
            <w:tcW w:w="3107"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pPr>
              <w:snapToGrid w:val="0"/>
              <w:spacing w:line="360" w:lineRule="auto"/>
              <w:jc w:val="center"/>
              <w:textAlignment w:val="center"/>
              <w:rPr>
                <w:rFonts w:ascii="宋体" w:hAnsi="宋体" w:cs="宋体" w:hint="default"/>
                <w:b/>
                <w:bCs/>
                <w:color w:val="auto"/>
                <w:kern w:val="0"/>
                <w:sz w:val="21"/>
                <w:szCs w:val="21"/>
                <w:highlight w:val="yellow"/>
                <w:lang w:val="en-US" w:eastAsia="zh-CN"/>
              </w:rPr>
            </w:pPr>
            <w:r>
              <w:rPr>
                <w:rFonts w:ascii="宋体" w:hAnsi="宋体" w:cs="宋体" w:hint="eastAsia"/>
                <w:b/>
                <w:bCs/>
                <w:color w:val="auto"/>
                <w:kern w:val="0"/>
                <w:sz w:val="21"/>
                <w:szCs w:val="21"/>
                <w:highlight w:val="yellow"/>
                <w:lang w:val="en-US" w:eastAsia="zh-CN"/>
              </w:rPr>
              <w:t>12</w:t>
            </w:r>
          </w:p>
        </w:tc>
      </w:tr>
    </w:tbl>
    <w:p>
      <w:pPr>
        <w:spacing w:line="360" w:lineRule="auto"/>
        <w:ind w:firstLine="420" w:firstLineChars="200"/>
        <w:jc w:val="left"/>
        <w:rPr>
          <w:rFonts w:ascii="宋体" w:eastAsia="宋体" w:hAnsi="宋体" w:cs="Times New Roman" w:hint="default"/>
          <w:b/>
          <w:bCs/>
          <w:szCs w:val="21"/>
          <w:highlight w:val="yellow"/>
          <w:u w:val="double"/>
          <w:lang w:val="en-US" w:eastAsia="zh-CN"/>
        </w:rPr>
      </w:pPr>
      <w:r>
        <w:rPr>
          <w:rFonts w:ascii="宋体" w:hAnsi="宋体" w:cs="Times New Roman" w:hint="eastAsia"/>
          <w:b/>
          <w:bCs/>
          <w:szCs w:val="21"/>
          <w:highlight w:val="yellow"/>
          <w:u w:val="double"/>
          <w:lang w:val="en-US" w:eastAsia="zh-CN"/>
        </w:rPr>
        <w:t>★</w:t>
      </w:r>
      <w:r>
        <w:rPr>
          <w:rFonts w:ascii="宋体" w:eastAsia="宋体" w:hAnsi="宋体" w:cs="Times New Roman" w:hint="eastAsia"/>
          <w:b/>
          <w:bCs/>
          <w:color w:val="auto"/>
          <w:szCs w:val="21"/>
          <w:highlight w:val="yellow"/>
          <w:u w:val="double"/>
          <w:lang w:val="en-US" w:eastAsia="zh-CN"/>
        </w:rPr>
        <w:t>（1）</w:t>
      </w:r>
      <w:r>
        <w:rPr>
          <w:rFonts w:ascii="宋体" w:eastAsia="宋体" w:hAnsi="宋体" w:cs="Times New Roman" w:hint="eastAsia"/>
          <w:b/>
          <w:bCs/>
          <w:color w:val="auto"/>
          <w:szCs w:val="21"/>
          <w:highlight w:val="yellow"/>
          <w:u w:val="double"/>
        </w:rPr>
        <w:t>根据本拘留所工作需求，至少需配备</w:t>
      </w:r>
      <w:r>
        <w:rPr>
          <w:rFonts w:ascii="宋体" w:eastAsia="宋体" w:hAnsi="宋体" w:cs="Times New Roman" w:hint="eastAsia"/>
          <w:b/>
          <w:bCs/>
          <w:color w:val="auto"/>
          <w:szCs w:val="21"/>
          <w:highlight w:val="yellow"/>
          <w:u w:val="double"/>
          <w:lang w:val="en-US" w:eastAsia="zh-CN"/>
        </w:rPr>
        <w:t>12</w:t>
      </w:r>
      <w:r>
        <w:rPr>
          <w:rFonts w:ascii="宋体" w:eastAsia="宋体" w:hAnsi="宋体" w:cs="Times New Roman" w:hint="eastAsia"/>
          <w:b/>
          <w:bCs/>
          <w:color w:val="auto"/>
          <w:szCs w:val="21"/>
          <w:highlight w:val="yellow"/>
          <w:u w:val="double"/>
        </w:rPr>
        <w:t>名常驻医务人员</w:t>
      </w:r>
      <w:r>
        <w:rPr>
          <w:rFonts w:ascii="宋体" w:eastAsia="宋体" w:hAnsi="宋体" w:cs="Times New Roman" w:hint="eastAsia"/>
          <w:b/>
          <w:bCs/>
          <w:color w:val="auto"/>
          <w:szCs w:val="21"/>
          <w:highlight w:val="yellow"/>
          <w:u w:val="double"/>
          <w:lang w:eastAsia="zh-CN"/>
        </w:rPr>
        <w:t>（</w:t>
      </w:r>
      <w:r>
        <w:rPr>
          <w:rFonts w:ascii="宋体" w:eastAsia="宋体" w:hAnsi="宋体" w:cs="Times New Roman" w:hint="eastAsia"/>
          <w:b/>
          <w:bCs/>
          <w:color w:val="auto"/>
          <w:szCs w:val="21"/>
          <w:highlight w:val="yellow"/>
          <w:u w:val="double"/>
          <w:lang w:val="en-US" w:eastAsia="zh-CN"/>
        </w:rPr>
        <w:t>其中</w:t>
      </w:r>
      <w:r>
        <w:rPr>
          <w:rFonts w:ascii="宋体" w:eastAsia="宋体" w:hAnsi="宋体" w:hint="eastAsia"/>
          <w:b/>
          <w:bCs/>
          <w:color w:val="auto"/>
          <w:szCs w:val="21"/>
          <w:highlight w:val="yellow"/>
          <w:u w:val="double"/>
          <w:lang w:val="en-US" w:eastAsia="zh-CN"/>
        </w:rPr>
        <w:t>1名项目负责人</w:t>
      </w:r>
      <w:r>
        <w:rPr>
          <w:rFonts w:ascii="宋体" w:eastAsia="宋体" w:hAnsi="宋体" w:cs="Times New Roman" w:hint="eastAsia"/>
          <w:b/>
          <w:bCs/>
          <w:color w:val="auto"/>
          <w:szCs w:val="21"/>
          <w:highlight w:val="yellow"/>
          <w:u w:val="double"/>
          <w:lang w:eastAsia="zh-CN"/>
        </w:rPr>
        <w:t>）</w:t>
      </w:r>
      <w:r>
        <w:rPr>
          <w:rFonts w:ascii="宋体" w:eastAsia="宋体" w:hAnsi="宋体" w:cs="Times New Roman" w:hint="eastAsia"/>
          <w:b/>
          <w:bCs/>
          <w:color w:val="auto"/>
          <w:szCs w:val="21"/>
          <w:highlight w:val="yellow"/>
          <w:u w:val="double"/>
        </w:rPr>
        <w:t>，</w:t>
      </w:r>
      <w:r>
        <w:rPr>
          <w:rFonts w:ascii="宋体" w:eastAsia="宋体" w:hAnsi="宋体" w:cs="Times New Roman" w:hint="eastAsia"/>
          <w:b/>
          <w:bCs/>
          <w:color w:val="auto"/>
          <w:szCs w:val="21"/>
          <w:highlight w:val="yellow"/>
          <w:u w:val="double"/>
          <w:lang w:val="en-US" w:eastAsia="zh-CN"/>
        </w:rPr>
        <w:t>门诊</w:t>
      </w:r>
      <w:r>
        <w:rPr>
          <w:rFonts w:ascii="宋体" w:eastAsia="宋体" w:hAnsi="宋体" w:cs="Times New Roman" w:hint="eastAsia"/>
          <w:b/>
          <w:bCs/>
          <w:color w:val="auto"/>
          <w:szCs w:val="21"/>
          <w:highlight w:val="yellow"/>
          <w:u w:val="double"/>
        </w:rPr>
        <w:t>医生</w:t>
      </w:r>
      <w:r>
        <w:rPr>
          <w:rFonts w:ascii="宋体" w:eastAsia="宋体" w:hAnsi="宋体" w:cs="Times New Roman" w:hint="eastAsia"/>
          <w:b/>
          <w:bCs/>
          <w:color w:val="auto"/>
          <w:szCs w:val="21"/>
          <w:highlight w:val="yellow"/>
          <w:u w:val="double"/>
          <w:lang w:val="en-US" w:eastAsia="zh-CN"/>
        </w:rPr>
        <w:t>5</w:t>
      </w:r>
      <w:r>
        <w:rPr>
          <w:rFonts w:ascii="宋体" w:hAnsi="宋体" w:cs="Times New Roman" w:hint="eastAsia"/>
          <w:b/>
          <w:bCs/>
          <w:color w:val="auto"/>
          <w:szCs w:val="21"/>
          <w:highlight w:val="yellow"/>
          <w:u w:val="double"/>
          <w:lang w:val="en-US" w:eastAsia="zh-CN"/>
        </w:rPr>
        <w:t>名</w:t>
      </w:r>
      <w:r>
        <w:rPr>
          <w:rFonts w:ascii="宋体" w:eastAsia="宋体" w:hAnsi="宋体" w:cs="Times New Roman" w:hint="eastAsia"/>
          <w:b/>
          <w:bCs/>
          <w:color w:val="auto"/>
          <w:szCs w:val="21"/>
          <w:highlight w:val="yellow"/>
          <w:u w:val="double"/>
        </w:rPr>
        <w:t>，护士</w:t>
      </w:r>
      <w:r>
        <w:rPr>
          <w:rFonts w:ascii="宋体" w:eastAsia="宋体" w:hAnsi="宋体" w:cs="Times New Roman" w:hint="eastAsia"/>
          <w:b/>
          <w:bCs/>
          <w:color w:val="auto"/>
          <w:szCs w:val="21"/>
          <w:highlight w:val="yellow"/>
          <w:u w:val="double"/>
          <w:lang w:val="en-US" w:eastAsia="zh-CN"/>
        </w:rPr>
        <w:t>4</w:t>
      </w:r>
      <w:r>
        <w:rPr>
          <w:rFonts w:ascii="宋体" w:hAnsi="宋体" w:cs="Times New Roman" w:hint="eastAsia"/>
          <w:b/>
          <w:bCs/>
          <w:color w:val="auto"/>
          <w:szCs w:val="21"/>
          <w:highlight w:val="yellow"/>
          <w:u w:val="double"/>
          <w:lang w:val="en-US" w:eastAsia="zh-CN"/>
        </w:rPr>
        <w:t>名</w:t>
      </w:r>
      <w:r>
        <w:rPr>
          <w:rFonts w:ascii="宋体" w:eastAsia="宋体" w:hAnsi="宋体" w:cs="Times New Roman" w:hint="eastAsia"/>
          <w:b/>
          <w:bCs/>
          <w:color w:val="auto"/>
          <w:szCs w:val="21"/>
          <w:highlight w:val="yellow"/>
          <w:u w:val="double"/>
        </w:rPr>
        <w:t>，</w:t>
      </w:r>
      <w:r>
        <w:rPr>
          <w:rFonts w:ascii="宋体" w:eastAsia="宋体" w:hAnsi="宋体" w:cs="Times New Roman" w:hint="eastAsia"/>
          <w:b/>
          <w:bCs/>
          <w:color w:val="auto"/>
          <w:szCs w:val="21"/>
          <w:highlight w:val="yellow"/>
          <w:u w:val="double"/>
          <w:lang w:val="en-US" w:eastAsia="zh-CN"/>
        </w:rPr>
        <w:t>收押岗检查医生2名，药剂师1名，或由双方协商后适当调配或增加所缺岗位人员</w:t>
      </w:r>
      <w:r>
        <w:rPr>
          <w:rFonts w:ascii="宋体" w:hAnsi="宋体" w:cs="Times New Roman" w:hint="eastAsia"/>
          <w:b/>
          <w:bCs/>
          <w:color w:val="auto"/>
          <w:szCs w:val="21"/>
          <w:highlight w:val="yellow"/>
          <w:u w:val="double"/>
          <w:lang w:val="en-US" w:eastAsia="zh-CN"/>
        </w:rPr>
        <w:t>，中标单位负责落实上述人员社保缴纳事宜。</w:t>
      </w:r>
    </w:p>
    <w:p>
      <w:pPr>
        <w:spacing w:line="360" w:lineRule="auto"/>
        <w:ind w:firstLine="420" w:firstLineChars="200"/>
        <w:jc w:val="left"/>
        <w:rPr>
          <w:rFonts w:ascii="宋体" w:eastAsia="宋体" w:hAnsi="宋体" w:cs="Times New Roman" w:hint="eastAsia"/>
          <w:b/>
          <w:bCs/>
          <w:szCs w:val="21"/>
          <w:highlight w:val="none"/>
          <w:u w:val="double"/>
        </w:rPr>
      </w:pPr>
      <w:r>
        <w:rPr>
          <w:rFonts w:ascii="宋体" w:eastAsia="宋体" w:hAnsi="宋体" w:cs="Times New Roman" w:hint="eastAsia"/>
          <w:b/>
          <w:bCs/>
          <w:szCs w:val="21"/>
          <w:highlight w:val="none"/>
          <w:u w:val="double"/>
          <w:lang w:val="en-US" w:eastAsia="zh-CN"/>
        </w:rPr>
        <w:t>（2）</w:t>
      </w:r>
      <w:r>
        <w:rPr>
          <w:rFonts w:ascii="宋体" w:eastAsia="宋体" w:hAnsi="宋体" w:cs="Times New Roman" w:hint="eastAsia"/>
          <w:b/>
          <w:bCs/>
          <w:szCs w:val="21"/>
          <w:highlight w:val="none"/>
          <w:u w:val="double"/>
        </w:rPr>
        <w:t>医护人员职称要求:门诊部</w:t>
      </w:r>
      <w:r>
        <w:rPr>
          <w:rFonts w:ascii="宋体" w:eastAsia="宋体" w:hAnsi="宋体" w:cs="Times New Roman" w:hint="eastAsia"/>
          <w:b/>
          <w:bCs/>
          <w:szCs w:val="21"/>
          <w:highlight w:val="none"/>
          <w:u w:val="double"/>
          <w:lang w:val="en-US" w:eastAsia="zh-CN"/>
        </w:rPr>
        <w:t>派驻</w:t>
      </w:r>
      <w:r>
        <w:rPr>
          <w:rFonts w:ascii="宋体" w:eastAsia="宋体" w:hAnsi="宋体" w:cs="Times New Roman" w:hint="eastAsia"/>
          <w:b/>
          <w:bCs/>
          <w:szCs w:val="21"/>
          <w:highlight w:val="none"/>
          <w:u w:val="double"/>
        </w:rPr>
        <w:t>医师至少有1名副高级</w:t>
      </w:r>
      <w:r>
        <w:rPr>
          <w:rFonts w:ascii="宋体" w:hAnsi="宋体" w:cs="Times New Roman" w:hint="eastAsia"/>
          <w:b/>
          <w:bCs/>
          <w:szCs w:val="21"/>
          <w:highlight w:val="none"/>
          <w:u w:val="double"/>
          <w:lang w:val="en-US" w:eastAsia="zh-CN"/>
        </w:rPr>
        <w:t>或以上</w:t>
      </w:r>
      <w:r>
        <w:rPr>
          <w:rFonts w:ascii="宋体" w:eastAsia="宋体" w:hAnsi="宋体" w:cs="Times New Roman" w:hint="eastAsia"/>
          <w:b/>
          <w:bCs/>
          <w:szCs w:val="21"/>
          <w:highlight w:val="none"/>
          <w:u w:val="double"/>
        </w:rPr>
        <w:t>职称，</w:t>
      </w:r>
      <w:r>
        <w:rPr>
          <w:rFonts w:ascii="宋体" w:eastAsia="宋体" w:hAnsi="宋体" w:cs="Times New Roman" w:hint="eastAsia"/>
          <w:b/>
          <w:bCs/>
          <w:szCs w:val="21"/>
          <w:highlight w:val="none"/>
          <w:u w:val="double"/>
          <w:lang w:val="en-US" w:eastAsia="zh-CN"/>
        </w:rPr>
        <w:t>2名中级或者以上职称，</w:t>
      </w:r>
      <w:r>
        <w:rPr>
          <w:rFonts w:ascii="宋体" w:eastAsia="宋体" w:hAnsi="宋体" w:cs="Times New Roman" w:hint="eastAsia"/>
          <w:b/>
          <w:bCs/>
          <w:szCs w:val="21"/>
          <w:highlight w:val="none"/>
          <w:u w:val="double"/>
        </w:rPr>
        <w:t>其他医师</w:t>
      </w:r>
      <w:r>
        <w:rPr>
          <w:rFonts w:ascii="宋体" w:hAnsi="宋体" w:cs="Times New Roman" w:hint="eastAsia"/>
          <w:b/>
          <w:bCs/>
          <w:szCs w:val="21"/>
          <w:highlight w:val="none"/>
          <w:u w:val="double"/>
          <w:lang w:val="en-US" w:eastAsia="zh-CN"/>
        </w:rPr>
        <w:t>具备</w:t>
      </w:r>
      <w:r>
        <w:rPr>
          <w:rFonts w:ascii="宋体" w:eastAsia="宋体" w:hAnsi="宋体" w:cs="Times New Roman" w:hint="eastAsia"/>
          <w:b/>
          <w:bCs/>
          <w:szCs w:val="21"/>
          <w:highlight w:val="none"/>
          <w:u w:val="double"/>
        </w:rPr>
        <w:t>初级职称或以上</w:t>
      </w:r>
      <w:r>
        <w:rPr>
          <w:rFonts w:ascii="宋体" w:eastAsia="宋体" w:hAnsi="宋体" w:cs="Times New Roman" w:hint="eastAsia"/>
          <w:b/>
          <w:bCs/>
          <w:szCs w:val="21"/>
          <w:highlight w:val="none"/>
          <w:u w:val="double"/>
          <w:lang w:eastAsia="zh-CN"/>
        </w:rPr>
        <w:t>；</w:t>
      </w:r>
      <w:r>
        <w:rPr>
          <w:rFonts w:ascii="宋体" w:eastAsia="宋体" w:hAnsi="宋体" w:cs="Times New Roman" w:hint="eastAsia"/>
          <w:b/>
          <w:bCs/>
          <w:szCs w:val="21"/>
          <w:highlight w:val="none"/>
          <w:u w:val="double"/>
        </w:rPr>
        <w:t>派驻护士必须取得护士执业资格并有相关工作经验</w:t>
      </w:r>
      <w:r>
        <w:rPr>
          <w:rFonts w:ascii="宋体" w:eastAsia="宋体" w:hAnsi="宋体" w:cs="Times New Roman" w:hint="eastAsia"/>
          <w:b/>
          <w:bCs/>
          <w:szCs w:val="21"/>
          <w:highlight w:val="none"/>
          <w:u w:val="double"/>
          <w:lang w:eastAsia="zh-CN"/>
        </w:rPr>
        <w:t>，</w:t>
      </w:r>
      <w:r>
        <w:rPr>
          <w:rFonts w:ascii="宋体" w:eastAsia="宋体" w:hAnsi="宋体" w:cs="Times New Roman" w:hint="eastAsia"/>
          <w:b/>
          <w:bCs/>
          <w:szCs w:val="21"/>
          <w:highlight w:val="none"/>
          <w:u w:val="double"/>
          <w:lang w:val="en-US" w:eastAsia="zh-CN"/>
        </w:rPr>
        <w:t>且有</w:t>
      </w:r>
      <w:r>
        <w:rPr>
          <w:rFonts w:ascii="宋体" w:hAnsi="宋体" w:cs="Times New Roman" w:hint="eastAsia"/>
          <w:b/>
          <w:bCs/>
          <w:szCs w:val="21"/>
          <w:highlight w:val="none"/>
          <w:u w:val="double"/>
          <w:lang w:val="en-US" w:eastAsia="zh-CN"/>
        </w:rPr>
        <w:t>1名</w:t>
      </w:r>
      <w:r>
        <w:rPr>
          <w:rFonts w:ascii="宋体" w:eastAsia="宋体" w:hAnsi="宋体" w:cs="Times New Roman" w:hint="eastAsia"/>
          <w:b/>
          <w:bCs/>
          <w:szCs w:val="21"/>
          <w:highlight w:val="none"/>
          <w:u w:val="double"/>
          <w:lang w:val="en-US" w:eastAsia="zh-CN"/>
        </w:rPr>
        <w:t>护士</w:t>
      </w:r>
      <w:r>
        <w:rPr>
          <w:rFonts w:ascii="宋体" w:hAnsi="宋体" w:cs="Times New Roman" w:hint="eastAsia"/>
          <w:b/>
          <w:bCs/>
          <w:szCs w:val="21"/>
          <w:highlight w:val="none"/>
          <w:u w:val="double"/>
          <w:lang w:val="en-US" w:eastAsia="zh-CN"/>
        </w:rPr>
        <w:t>具有</w:t>
      </w:r>
      <w:r>
        <w:rPr>
          <w:rFonts w:ascii="宋体" w:eastAsia="宋体" w:hAnsi="宋体" w:cs="Times New Roman" w:hint="eastAsia"/>
          <w:b/>
          <w:bCs/>
          <w:szCs w:val="21"/>
          <w:highlight w:val="none"/>
          <w:u w:val="double"/>
          <w:lang w:val="en-US" w:eastAsia="zh-CN"/>
        </w:rPr>
        <w:t>中级</w:t>
      </w:r>
      <w:r>
        <w:rPr>
          <w:rFonts w:ascii="宋体" w:hAnsi="宋体" w:cs="Times New Roman" w:hint="eastAsia"/>
          <w:b/>
          <w:bCs/>
          <w:szCs w:val="21"/>
          <w:highlight w:val="none"/>
          <w:u w:val="double"/>
          <w:lang w:val="en-US" w:eastAsia="zh-CN"/>
        </w:rPr>
        <w:t>或</w:t>
      </w:r>
      <w:r>
        <w:rPr>
          <w:rFonts w:ascii="宋体" w:eastAsia="宋体" w:hAnsi="宋体" w:cs="Times New Roman" w:hint="eastAsia"/>
          <w:b/>
          <w:bCs/>
          <w:szCs w:val="21"/>
          <w:highlight w:val="none"/>
          <w:u w:val="double"/>
          <w:lang w:val="en-US" w:eastAsia="zh-CN"/>
        </w:rPr>
        <w:t>以上职称</w:t>
      </w:r>
      <w:r>
        <w:rPr>
          <w:rFonts w:ascii="宋体" w:eastAsia="宋体" w:hAnsi="宋体" w:cs="Times New Roman" w:hint="eastAsia"/>
          <w:b/>
          <w:bCs/>
          <w:szCs w:val="21"/>
          <w:highlight w:val="none"/>
          <w:u w:val="double"/>
          <w:lang w:eastAsia="zh-CN"/>
        </w:rPr>
        <w:t>；</w:t>
      </w:r>
      <w:r>
        <w:rPr>
          <w:rFonts w:ascii="宋体" w:eastAsia="宋体" w:hAnsi="宋体" w:cs="Times New Roman" w:hint="eastAsia"/>
          <w:b/>
          <w:bCs/>
          <w:szCs w:val="21"/>
          <w:highlight w:val="none"/>
          <w:u w:val="double"/>
        </w:rPr>
        <w:t>药剂师必须取得初级</w:t>
      </w:r>
      <w:r>
        <w:rPr>
          <w:rFonts w:hint="eastAsia"/>
          <w:b/>
          <w:bCs/>
          <w:highlight w:val="none"/>
          <w:u w:val="double"/>
          <w:lang w:val="en-US" w:eastAsia="zh-CN"/>
        </w:rPr>
        <w:t>或以上</w:t>
      </w:r>
      <w:r>
        <w:rPr>
          <w:rFonts w:ascii="宋体" w:eastAsia="宋体" w:hAnsi="宋体" w:cs="Times New Roman" w:hint="eastAsia"/>
          <w:b/>
          <w:bCs/>
          <w:szCs w:val="21"/>
          <w:highlight w:val="none"/>
          <w:u w:val="double"/>
        </w:rPr>
        <w:t>职称</w:t>
      </w:r>
      <w:r>
        <w:rPr>
          <w:rFonts w:ascii="宋体" w:eastAsia="宋体" w:hAnsi="宋体" w:cs="Times New Roman" w:hint="eastAsia"/>
          <w:b/>
          <w:bCs/>
          <w:szCs w:val="21"/>
          <w:highlight w:val="none"/>
          <w:u w:val="double"/>
          <w:lang w:eastAsia="zh-CN"/>
        </w:rPr>
        <w:t>，</w:t>
      </w:r>
      <w:r>
        <w:rPr>
          <w:rFonts w:ascii="宋体" w:eastAsia="宋体" w:hAnsi="宋体" w:cs="Times New Roman" w:hint="eastAsia"/>
          <w:b/>
          <w:bCs/>
          <w:szCs w:val="21"/>
          <w:highlight w:val="none"/>
          <w:u w:val="double"/>
          <w:lang w:val="en-US" w:eastAsia="zh-CN"/>
        </w:rPr>
        <w:t>派驻医生中需2名</w:t>
      </w:r>
      <w:r>
        <w:rPr>
          <w:rFonts w:ascii="宋体" w:hAnsi="宋体" w:cs="Times New Roman" w:hint="eastAsia"/>
          <w:b/>
          <w:bCs/>
          <w:szCs w:val="21"/>
          <w:highlight w:val="none"/>
          <w:u w:val="double"/>
          <w:lang w:val="en-US" w:eastAsia="zh-CN"/>
        </w:rPr>
        <w:t>或以上具</w:t>
      </w:r>
      <w:r>
        <w:rPr>
          <w:rFonts w:ascii="宋体" w:eastAsia="宋体" w:hAnsi="宋体" w:cs="Times New Roman" w:hint="eastAsia"/>
          <w:b/>
          <w:bCs/>
          <w:szCs w:val="21"/>
          <w:highlight w:val="none"/>
          <w:u w:val="double"/>
        </w:rPr>
        <w:t>有精神药品、麻醉药品处方权。</w:t>
      </w:r>
    </w:p>
    <w:p>
      <w:pPr>
        <w:spacing w:line="360" w:lineRule="auto"/>
        <w:ind w:firstLine="420" w:firstLineChars="200"/>
        <w:jc w:val="left"/>
        <w:rPr>
          <w:rFonts w:ascii="宋体" w:eastAsia="宋体" w:hAnsi="宋体" w:cs="Times New Roman" w:hint="eastAsia"/>
          <w:b/>
          <w:bCs/>
          <w:szCs w:val="21"/>
          <w:highlight w:val="yellow"/>
          <w:u w:val="double"/>
          <w:lang w:eastAsia="zh-CN"/>
        </w:rPr>
      </w:pPr>
      <w:r>
        <w:rPr>
          <w:rFonts w:ascii="宋体" w:hAnsi="宋体" w:cs="Times New Roman" w:hint="eastAsia"/>
          <w:b/>
          <w:bCs/>
          <w:szCs w:val="21"/>
          <w:highlight w:val="yellow"/>
          <w:u w:val="double"/>
          <w:lang w:val="en-US" w:eastAsia="zh-CN"/>
        </w:rPr>
        <w:t>★</w:t>
      </w:r>
      <w:r>
        <w:rPr>
          <w:rFonts w:ascii="宋体" w:eastAsia="宋体" w:hAnsi="宋体" w:cs="Times New Roman" w:hint="eastAsia"/>
          <w:b/>
          <w:bCs/>
          <w:szCs w:val="21"/>
          <w:highlight w:val="yellow"/>
          <w:u w:val="double"/>
          <w:lang w:val="en-US" w:eastAsia="zh-CN"/>
        </w:rPr>
        <w:t>（3）</w:t>
      </w:r>
      <w:r>
        <w:rPr>
          <w:rFonts w:ascii="宋体" w:eastAsia="宋体" w:hAnsi="宋体" w:cs="Times New Roman" w:hint="eastAsia"/>
          <w:b/>
          <w:bCs/>
          <w:szCs w:val="21"/>
          <w:highlight w:val="yellow"/>
          <w:u w:val="double"/>
        </w:rPr>
        <w:t>派驻医师应以内科、全科、急诊为主</w:t>
      </w:r>
      <w:r>
        <w:rPr>
          <w:rFonts w:ascii="宋体" w:eastAsia="宋体" w:hAnsi="宋体" w:cs="Times New Roman" w:hint="eastAsia"/>
          <w:b/>
          <w:bCs/>
          <w:szCs w:val="21"/>
          <w:highlight w:val="yellow"/>
          <w:u w:val="double"/>
          <w:lang w:val="en-US" w:eastAsia="zh-CN"/>
        </w:rPr>
        <w:t>或根据多发高危病症调配</w:t>
      </w:r>
      <w:r>
        <w:rPr>
          <w:rFonts w:ascii="宋体" w:eastAsia="宋体" w:hAnsi="宋体" w:cs="Times New Roman" w:hint="eastAsia"/>
          <w:b/>
          <w:bCs/>
          <w:szCs w:val="21"/>
          <w:highlight w:val="yellow"/>
          <w:u w:val="double"/>
        </w:rPr>
        <w:t>，具备相应的临床诊疗经验以及对危急症患者进行院前急救处置能力，派驻的人员应相对固定。派驻医护人员和调整医护人员须</w:t>
      </w:r>
      <w:r>
        <w:rPr>
          <w:rFonts w:ascii="宋体" w:hAnsi="宋体" w:cs="Times New Roman" w:hint="eastAsia"/>
          <w:b/>
          <w:bCs/>
          <w:szCs w:val="21"/>
          <w:highlight w:val="yellow"/>
          <w:u w:val="double"/>
          <w:lang w:val="en-US" w:eastAsia="zh-CN"/>
        </w:rPr>
        <w:t>提前报备</w:t>
      </w:r>
      <w:r>
        <w:rPr>
          <w:rFonts w:ascii="宋体" w:eastAsia="宋体" w:hAnsi="宋体" w:cs="Times New Roman" w:hint="eastAsia"/>
          <w:b/>
          <w:bCs/>
          <w:szCs w:val="21"/>
          <w:highlight w:val="yellow"/>
          <w:u w:val="double"/>
        </w:rPr>
        <w:t>采购人</w:t>
      </w:r>
      <w:r>
        <w:rPr>
          <w:rFonts w:ascii="宋体" w:eastAsia="宋体" w:hAnsi="宋体" w:cs="Times New Roman" w:hint="eastAsia"/>
          <w:b/>
          <w:bCs/>
          <w:szCs w:val="21"/>
          <w:highlight w:val="yellow"/>
          <w:u w:val="double"/>
          <w:lang w:eastAsia="zh-CN"/>
        </w:rPr>
        <w:t>。</w:t>
      </w:r>
    </w:p>
    <w:p>
      <w:pPr>
        <w:spacing w:line="360" w:lineRule="auto"/>
        <w:ind w:firstLine="420" w:firstLineChars="200"/>
        <w:jc w:val="left"/>
        <w:rPr>
          <w:rFonts w:ascii="宋体" w:eastAsia="宋体" w:hAnsi="宋体" w:cs="Times New Roman" w:hint="eastAsia"/>
          <w:b/>
          <w:bCs/>
          <w:szCs w:val="21"/>
          <w:highlight w:val="yellow"/>
        </w:rPr>
      </w:pPr>
      <w:r>
        <w:rPr>
          <w:rFonts w:ascii="宋体" w:hAnsi="宋体" w:cs="Times New Roman" w:hint="eastAsia"/>
          <w:b/>
          <w:bCs/>
          <w:szCs w:val="21"/>
          <w:highlight w:val="yellow"/>
          <w:lang w:val="en-US" w:eastAsia="zh-CN"/>
        </w:rPr>
        <w:t>★</w:t>
      </w:r>
      <w:r>
        <w:rPr>
          <w:rFonts w:ascii="宋体" w:eastAsia="宋体" w:hAnsi="宋体" w:cs="Times New Roman" w:hint="eastAsia"/>
          <w:b/>
          <w:bCs/>
          <w:szCs w:val="21"/>
          <w:highlight w:val="yellow"/>
          <w:lang w:val="en-US" w:eastAsia="zh-CN"/>
        </w:rPr>
        <w:t>（4）派驻</w:t>
      </w:r>
      <w:r>
        <w:rPr>
          <w:rFonts w:ascii="宋体" w:eastAsia="宋体" w:hAnsi="宋体" w:cs="Times New Roman" w:hint="eastAsia"/>
          <w:b/>
          <w:bCs/>
          <w:szCs w:val="21"/>
          <w:highlight w:val="yellow"/>
        </w:rPr>
        <w:t>医护人员应政治可</w:t>
      </w:r>
      <w:r>
        <w:rPr>
          <w:rFonts w:ascii="宋体" w:eastAsia="宋体" w:hAnsi="宋体" w:cs="Times New Roman" w:hint="eastAsia"/>
          <w:b/>
          <w:bCs/>
          <w:szCs w:val="21"/>
          <w:highlight w:val="yellow"/>
          <w:lang w:val="en-US" w:eastAsia="zh-CN"/>
        </w:rPr>
        <w:t>靠</w:t>
      </w:r>
      <w:r>
        <w:rPr>
          <w:rFonts w:ascii="宋体" w:eastAsia="宋体" w:hAnsi="宋体" w:cs="Times New Roman" w:hint="eastAsia"/>
          <w:b/>
          <w:bCs/>
          <w:szCs w:val="21"/>
          <w:highlight w:val="yellow"/>
        </w:rPr>
        <w:t>，无不良嗜好，无违法犯罪记录，由</w:t>
      </w:r>
      <w:r>
        <w:rPr>
          <w:rFonts w:ascii="宋体" w:eastAsia="宋体" w:hAnsi="宋体" w:cs="Times New Roman" w:hint="eastAsia"/>
          <w:b/>
          <w:bCs/>
          <w:szCs w:val="21"/>
          <w:highlight w:val="yellow"/>
          <w:lang w:val="en-US" w:eastAsia="zh-CN"/>
        </w:rPr>
        <w:t>采购</w:t>
      </w:r>
      <w:r>
        <w:rPr>
          <w:rFonts w:ascii="宋体" w:eastAsia="宋体" w:hAnsi="宋体" w:cs="Times New Roman" w:hint="eastAsia"/>
          <w:b/>
          <w:bCs/>
          <w:szCs w:val="21"/>
          <w:highlight w:val="yellow"/>
        </w:rPr>
        <w:t>人对派驻人员进行</w:t>
      </w:r>
      <w:r>
        <w:rPr>
          <w:rFonts w:ascii="宋体" w:eastAsia="宋体" w:hAnsi="宋体" w:cs="Times New Roman" w:hint="eastAsia"/>
          <w:b/>
          <w:bCs/>
          <w:szCs w:val="21"/>
          <w:highlight w:val="yellow"/>
          <w:lang w:val="en-US" w:eastAsia="zh-CN"/>
        </w:rPr>
        <w:t>审查。</w:t>
      </w:r>
    </w:p>
    <w:p>
      <w:pPr>
        <w:spacing w:line="360" w:lineRule="auto"/>
        <w:ind w:firstLine="420" w:firstLineChars="200"/>
        <w:jc w:val="left"/>
        <w:rPr>
          <w:rFonts w:ascii="宋体" w:eastAsia="宋体" w:hAnsi="宋体" w:cs="Times New Roman" w:hint="eastAsia"/>
          <w:b/>
          <w:bCs/>
          <w:szCs w:val="21"/>
          <w:highlight w:val="yellow"/>
        </w:rPr>
      </w:pPr>
      <w:r>
        <w:rPr>
          <w:rFonts w:ascii="宋体" w:hAnsi="宋体" w:cs="Times New Roman" w:hint="eastAsia"/>
          <w:b/>
          <w:bCs/>
          <w:szCs w:val="21"/>
          <w:highlight w:val="yellow"/>
          <w:lang w:val="en-US" w:eastAsia="zh-CN"/>
        </w:rPr>
        <w:t>★</w:t>
      </w:r>
      <w:r>
        <w:rPr>
          <w:rFonts w:ascii="宋体" w:eastAsia="宋体" w:hAnsi="宋体" w:cs="Times New Roman" w:hint="eastAsia"/>
          <w:b/>
          <w:bCs/>
          <w:szCs w:val="21"/>
          <w:highlight w:val="yellow"/>
          <w:lang w:val="en-US" w:eastAsia="zh-CN"/>
        </w:rPr>
        <w:t>（5）派驻</w:t>
      </w:r>
      <w:r>
        <w:rPr>
          <w:rFonts w:ascii="宋体" w:eastAsia="宋体" w:hAnsi="宋体" w:cs="Times New Roman" w:hint="eastAsia"/>
          <w:b/>
          <w:bCs/>
          <w:szCs w:val="21"/>
          <w:highlight w:val="yellow"/>
        </w:rPr>
        <w:t>医护人员应严格执行医疗卫生的执业规定。</w:t>
      </w:r>
    </w:p>
    <w:p>
      <w:pPr>
        <w:spacing w:line="360" w:lineRule="auto"/>
        <w:ind w:firstLine="420" w:firstLineChars="200"/>
        <w:jc w:val="left"/>
        <w:rPr>
          <w:rFonts w:ascii="宋体" w:eastAsia="宋体" w:hAnsi="宋体" w:cs="Times New Roman" w:hint="eastAsia"/>
          <w:b/>
          <w:bCs/>
          <w:szCs w:val="21"/>
          <w:highlight w:val="yellow"/>
          <w:lang w:eastAsia="zh-CN"/>
        </w:rPr>
      </w:pPr>
      <w:r>
        <w:rPr>
          <w:rFonts w:ascii="宋体" w:hAnsi="宋体" w:cs="Times New Roman" w:hint="eastAsia"/>
          <w:b/>
          <w:bCs/>
          <w:szCs w:val="21"/>
          <w:highlight w:val="yellow"/>
          <w:lang w:val="en-US" w:eastAsia="zh-CN"/>
        </w:rPr>
        <w:t>★</w:t>
      </w:r>
      <w:r>
        <w:rPr>
          <w:rFonts w:ascii="宋体" w:hAnsi="宋体" w:cs="Times New Roman" w:hint="eastAsia"/>
          <w:b/>
          <w:bCs/>
          <w:szCs w:val="21"/>
          <w:highlight w:val="yellow"/>
          <w:lang w:eastAsia="zh-CN"/>
        </w:rPr>
        <w:t>（</w:t>
      </w:r>
      <w:r>
        <w:rPr>
          <w:rFonts w:ascii="宋体" w:hAnsi="宋体" w:cs="Times New Roman" w:hint="eastAsia"/>
          <w:b/>
          <w:bCs/>
          <w:szCs w:val="21"/>
          <w:highlight w:val="yellow"/>
          <w:lang w:val="en-US" w:eastAsia="zh-CN"/>
        </w:rPr>
        <w:t>6</w:t>
      </w:r>
      <w:r>
        <w:rPr>
          <w:rFonts w:ascii="宋体" w:hAnsi="宋体" w:cs="Times New Roman" w:hint="eastAsia"/>
          <w:b/>
          <w:bCs/>
          <w:szCs w:val="21"/>
          <w:highlight w:val="yellow"/>
          <w:lang w:eastAsia="zh-CN"/>
        </w:rPr>
        <w:t>）</w:t>
      </w:r>
      <w:r>
        <w:rPr>
          <w:rFonts w:ascii="宋体" w:hAnsi="宋体" w:cs="Times New Roman" w:hint="eastAsia"/>
          <w:b/>
          <w:bCs/>
          <w:szCs w:val="21"/>
          <w:highlight w:val="yellow"/>
          <w:lang w:val="en-US" w:eastAsia="zh-CN"/>
        </w:rPr>
        <w:t>派驻</w:t>
      </w:r>
      <w:r>
        <w:rPr>
          <w:rFonts w:hint="eastAsia"/>
          <w:b/>
          <w:bCs/>
          <w:highlight w:val="yellow"/>
          <w:lang w:eastAsia="zh-CN"/>
        </w:rPr>
        <w:t>医生和护士均应具备相应执业资格证书（</w:t>
      </w:r>
      <w:r>
        <w:rPr>
          <w:rFonts w:hint="eastAsia"/>
          <w:b/>
          <w:bCs/>
          <w:highlight w:val="yellow"/>
          <w:lang w:val="en-US" w:eastAsia="zh-CN"/>
        </w:rPr>
        <w:t>提供承诺函，格式自拟</w:t>
      </w:r>
      <w:r>
        <w:rPr>
          <w:rFonts w:hint="eastAsia"/>
          <w:b/>
          <w:bCs/>
          <w:highlight w:val="yellow"/>
          <w:lang w:eastAsia="zh-CN"/>
        </w:rPr>
        <w:t>）。</w:t>
      </w:r>
    </w:p>
    <w:p>
      <w:pPr>
        <w:spacing w:line="360" w:lineRule="auto"/>
        <w:ind w:firstLine="420" w:firstLineChars="200"/>
        <w:jc w:val="left"/>
        <w:rPr>
          <w:rFonts w:ascii="宋体" w:eastAsia="宋体" w:hAnsi="宋体" w:cs="Times New Roman" w:hint="eastAsia"/>
          <w:b/>
          <w:bCs/>
          <w:szCs w:val="21"/>
          <w:highlight w:val="yellow"/>
          <w:lang w:val="en-US" w:eastAsia="zh-CN"/>
        </w:rPr>
      </w:pPr>
      <w:r>
        <w:rPr>
          <w:rFonts w:ascii="宋体" w:eastAsia="宋体" w:hAnsi="宋体" w:cs="Times New Roman" w:hint="eastAsia"/>
          <w:b/>
          <w:bCs/>
          <w:szCs w:val="21"/>
          <w:highlight w:val="yellow"/>
          <w:lang w:val="en-US" w:eastAsia="zh-CN"/>
        </w:rPr>
        <w:t>★4.监所医生实行24小时勤务模式</w:t>
      </w:r>
    </w:p>
    <w:p>
      <w:pPr>
        <w:spacing w:line="360" w:lineRule="auto"/>
        <w:ind w:firstLine="420" w:firstLineChars="200"/>
        <w:jc w:val="left"/>
        <w:rPr>
          <w:rFonts w:ascii="宋体" w:eastAsia="宋体" w:hAnsi="宋体" w:cs="Times New Roman" w:hint="eastAsia"/>
          <w:b/>
          <w:bCs/>
          <w:szCs w:val="21"/>
          <w:highlight w:val="yellow"/>
        </w:rPr>
      </w:pPr>
      <w:r>
        <w:rPr>
          <w:rFonts w:ascii="宋体" w:eastAsia="宋体" w:hAnsi="宋体" w:cs="Times New Roman" w:hint="eastAsia"/>
          <w:b/>
          <w:bCs/>
          <w:szCs w:val="21"/>
          <w:highlight w:val="yellow"/>
          <w:lang w:val="en-US" w:eastAsia="zh-CN"/>
        </w:rPr>
        <w:t>（1）</w:t>
      </w:r>
      <w:r>
        <w:rPr>
          <w:rFonts w:ascii="宋体" w:eastAsia="宋体" w:hAnsi="宋体" w:cs="Times New Roman" w:hint="eastAsia"/>
          <w:b/>
          <w:bCs/>
          <w:szCs w:val="21"/>
          <w:highlight w:val="yellow"/>
        </w:rPr>
        <w:t>医师白天至少</w:t>
      </w:r>
      <w:r>
        <w:rPr>
          <w:rFonts w:ascii="宋体" w:eastAsia="宋体" w:hAnsi="宋体" w:cs="Times New Roman" w:hint="eastAsia"/>
          <w:b/>
          <w:bCs/>
          <w:szCs w:val="21"/>
          <w:highlight w:val="yellow"/>
          <w:lang w:val="en-US" w:eastAsia="zh-CN"/>
        </w:rPr>
        <w:t>3</w:t>
      </w:r>
      <w:r>
        <w:rPr>
          <w:rFonts w:ascii="宋体" w:eastAsia="宋体" w:hAnsi="宋体" w:cs="Times New Roman" w:hint="eastAsia"/>
          <w:b/>
          <w:bCs/>
          <w:szCs w:val="21"/>
          <w:highlight w:val="yellow"/>
        </w:rPr>
        <w:t>名</w:t>
      </w:r>
      <w:r>
        <w:rPr>
          <w:rFonts w:ascii="宋体" w:hAnsi="宋体" w:cs="Times New Roman" w:hint="eastAsia"/>
          <w:b/>
          <w:bCs/>
          <w:szCs w:val="21"/>
          <w:highlight w:val="yellow"/>
          <w:lang w:val="en-US" w:eastAsia="zh-CN"/>
        </w:rPr>
        <w:t>在岗</w:t>
      </w:r>
      <w:r>
        <w:rPr>
          <w:rFonts w:ascii="宋体" w:eastAsia="宋体" w:hAnsi="宋体" w:cs="Times New Roman" w:hint="eastAsia"/>
          <w:b/>
          <w:bCs/>
          <w:szCs w:val="21"/>
          <w:highlight w:val="yellow"/>
        </w:rPr>
        <w:t>，含收押岗医师1名,</w:t>
      </w:r>
      <w:r>
        <w:rPr>
          <w:rFonts w:ascii="宋体" w:eastAsia="宋体" w:hAnsi="宋体" w:cs="Times New Roman" w:hint="eastAsia"/>
          <w:b/>
          <w:bCs/>
          <w:szCs w:val="21"/>
          <w:highlight w:val="yellow"/>
          <w:lang w:val="en-US" w:eastAsia="zh-CN"/>
        </w:rPr>
        <w:t>监区内诊疗</w:t>
      </w:r>
      <w:r>
        <w:rPr>
          <w:rFonts w:ascii="宋体" w:eastAsia="宋体" w:hAnsi="宋体" w:cs="Times New Roman" w:hint="eastAsia"/>
          <w:b/>
          <w:bCs/>
          <w:szCs w:val="21"/>
          <w:highlight w:val="yellow"/>
        </w:rPr>
        <w:t>医师2-3名</w:t>
      </w:r>
      <w:r>
        <w:rPr>
          <w:rFonts w:ascii="宋体" w:eastAsia="宋体" w:hAnsi="宋体" w:cs="Times New Roman" w:hint="eastAsia"/>
          <w:b/>
          <w:bCs/>
          <w:szCs w:val="21"/>
          <w:highlight w:val="yellow"/>
          <w:lang w:eastAsia="zh-CN"/>
        </w:rPr>
        <w:t>，</w:t>
      </w:r>
      <w:r>
        <w:rPr>
          <w:rFonts w:ascii="宋体" w:eastAsia="宋体" w:hAnsi="宋体" w:cs="Times New Roman" w:hint="eastAsia"/>
          <w:b/>
          <w:bCs/>
          <w:szCs w:val="21"/>
          <w:highlight w:val="yellow"/>
          <w:lang w:val="en-US" w:eastAsia="zh-CN"/>
        </w:rPr>
        <w:t>夜间</w:t>
      </w:r>
      <w:r>
        <w:rPr>
          <w:rFonts w:ascii="宋体" w:eastAsia="宋体" w:hAnsi="宋体" w:cs="Times New Roman" w:hint="eastAsia"/>
          <w:b/>
          <w:bCs/>
          <w:szCs w:val="21"/>
          <w:highlight w:val="yellow"/>
        </w:rPr>
        <w:t>值班医师</w:t>
      </w:r>
      <w:r>
        <w:rPr>
          <w:rFonts w:ascii="宋体" w:eastAsia="宋体" w:hAnsi="宋体" w:cs="Times New Roman" w:hint="eastAsia"/>
          <w:b/>
          <w:bCs/>
          <w:szCs w:val="21"/>
          <w:highlight w:val="yellow"/>
          <w:lang w:val="en-US" w:eastAsia="zh-CN"/>
        </w:rPr>
        <w:t>2-3</w:t>
      </w:r>
      <w:r>
        <w:rPr>
          <w:rFonts w:ascii="宋体" w:eastAsia="宋体" w:hAnsi="宋体" w:cs="Times New Roman" w:hint="eastAsia"/>
          <w:b/>
          <w:bCs/>
          <w:szCs w:val="21"/>
          <w:highlight w:val="yellow"/>
        </w:rPr>
        <w:t>名</w:t>
      </w:r>
      <w:r>
        <w:rPr>
          <w:rFonts w:ascii="宋体" w:hAnsi="宋体" w:cs="Times New Roman" w:hint="eastAsia"/>
          <w:b/>
          <w:bCs/>
          <w:szCs w:val="21"/>
          <w:highlight w:val="yellow"/>
          <w:lang w:val="en-US" w:eastAsia="zh-CN"/>
        </w:rPr>
        <w:t>在岗</w:t>
      </w:r>
      <w:r>
        <w:rPr>
          <w:rFonts w:ascii="宋体" w:eastAsia="宋体" w:hAnsi="宋体" w:cs="Times New Roman" w:hint="eastAsia"/>
          <w:b/>
          <w:bCs/>
          <w:szCs w:val="21"/>
          <w:highlight w:val="yellow"/>
        </w:rPr>
        <w:t>(</w:t>
      </w:r>
      <w:r>
        <w:rPr>
          <w:rFonts w:ascii="宋体" w:eastAsia="宋体" w:hAnsi="宋体" w:cs="Times New Roman" w:hint="eastAsia"/>
          <w:b/>
          <w:bCs/>
          <w:szCs w:val="21"/>
          <w:highlight w:val="yellow"/>
          <w:lang w:val="en-US" w:eastAsia="zh-CN"/>
        </w:rPr>
        <w:t>1名负责监区内诊治；1名副班备勤，如遇到出所就医情况副班顶上；1名负责收押岗体检新收入所人员）</w:t>
      </w:r>
      <w:r>
        <w:rPr>
          <w:rFonts w:ascii="宋体" w:eastAsia="宋体" w:hAnsi="宋体" w:cs="Times New Roman" w:hint="eastAsia"/>
          <w:b/>
          <w:bCs/>
          <w:szCs w:val="21"/>
          <w:highlight w:val="yellow"/>
        </w:rPr>
        <w:t>。</w:t>
      </w:r>
    </w:p>
    <w:p>
      <w:pPr>
        <w:spacing w:line="360" w:lineRule="auto"/>
        <w:ind w:firstLine="420" w:firstLineChars="200"/>
        <w:jc w:val="left"/>
        <w:rPr>
          <w:rFonts w:ascii="宋体" w:eastAsia="宋体" w:hAnsi="宋体" w:cs="Times New Roman" w:hint="eastAsia"/>
          <w:b/>
          <w:bCs/>
          <w:szCs w:val="21"/>
          <w:highlight w:val="yellow"/>
          <w:lang w:eastAsia="zh-CN"/>
        </w:rPr>
      </w:pPr>
      <w:r>
        <w:rPr>
          <w:rFonts w:ascii="宋体" w:eastAsia="宋体" w:hAnsi="宋体" w:cs="Times New Roman" w:hint="eastAsia"/>
          <w:b/>
          <w:bCs/>
          <w:szCs w:val="21"/>
          <w:highlight w:val="yellow"/>
          <w:lang w:val="en-US" w:eastAsia="zh-CN"/>
        </w:rPr>
        <w:t>（2）</w:t>
      </w:r>
      <w:r>
        <w:rPr>
          <w:rFonts w:ascii="宋体" w:eastAsia="宋体" w:hAnsi="宋体" w:cs="Times New Roman" w:hint="eastAsia"/>
          <w:b/>
          <w:bCs/>
          <w:szCs w:val="21"/>
          <w:highlight w:val="yellow"/>
        </w:rPr>
        <w:t>护士白天至少2名，负责监区护理工作</w:t>
      </w:r>
      <w:r>
        <w:rPr>
          <w:rFonts w:ascii="宋体" w:hAnsi="宋体" w:cs="Times New Roman" w:hint="eastAsia"/>
          <w:b/>
          <w:bCs/>
          <w:szCs w:val="21"/>
          <w:highlight w:val="yellow"/>
          <w:lang w:eastAsia="zh-CN"/>
        </w:rPr>
        <w:t>。</w:t>
      </w:r>
    </w:p>
    <w:p>
      <w:pPr>
        <w:spacing w:line="360" w:lineRule="auto"/>
        <w:ind w:firstLine="420" w:firstLineChars="200"/>
        <w:jc w:val="left"/>
        <w:rPr>
          <w:rFonts w:ascii="宋体" w:eastAsia="宋体" w:hAnsi="宋体" w:cs="Times New Roman" w:hint="eastAsia"/>
          <w:b/>
          <w:bCs/>
          <w:szCs w:val="21"/>
          <w:highlight w:val="yellow"/>
          <w:u w:val="double"/>
        </w:rPr>
      </w:pPr>
      <w:r>
        <w:rPr>
          <w:rFonts w:ascii="宋体" w:eastAsia="宋体" w:hAnsi="宋体" w:cs="Times New Roman" w:hint="eastAsia"/>
          <w:b/>
          <w:bCs/>
          <w:szCs w:val="21"/>
          <w:highlight w:val="yellow"/>
          <w:u w:val="double"/>
          <w:lang w:val="en-US" w:eastAsia="zh-CN"/>
        </w:rPr>
        <w:t>（3）</w:t>
      </w:r>
      <w:r>
        <w:rPr>
          <w:rFonts w:ascii="宋体" w:eastAsia="宋体" w:hAnsi="宋体" w:cs="Times New Roman" w:hint="eastAsia"/>
          <w:b/>
          <w:bCs/>
          <w:szCs w:val="21"/>
          <w:highlight w:val="yellow"/>
          <w:u w:val="double"/>
        </w:rPr>
        <w:t>特殊情况</w:t>
      </w:r>
      <w:r>
        <w:rPr>
          <w:rFonts w:ascii="宋体" w:eastAsia="宋体" w:hAnsi="宋体" w:cs="Times New Roman" w:hint="eastAsia"/>
          <w:b/>
          <w:bCs/>
          <w:szCs w:val="21"/>
          <w:highlight w:val="yellow"/>
          <w:u w:val="double"/>
          <w:lang w:eastAsia="zh-CN"/>
        </w:rPr>
        <w:t>：</w:t>
      </w:r>
      <w:r>
        <w:rPr>
          <w:rFonts w:ascii="宋体" w:eastAsia="宋体" w:hAnsi="宋体" w:cs="Times New Roman" w:hint="eastAsia"/>
          <w:b/>
          <w:bCs/>
          <w:szCs w:val="21"/>
          <w:highlight w:val="yellow"/>
          <w:u w:val="double"/>
        </w:rPr>
        <w:t>因有不可</w:t>
      </w:r>
      <w:r>
        <w:rPr>
          <w:rFonts w:ascii="宋体" w:eastAsia="宋体" w:hAnsi="宋体" w:cs="Times New Roman" w:hint="eastAsia"/>
          <w:b/>
          <w:bCs/>
          <w:szCs w:val="21"/>
          <w:highlight w:val="yellow"/>
          <w:u w:val="double"/>
          <w:lang w:val="en-US" w:eastAsia="zh-CN"/>
        </w:rPr>
        <w:t>抗拒力量</w:t>
      </w:r>
      <w:r>
        <w:rPr>
          <w:rFonts w:ascii="宋体" w:eastAsia="宋体" w:hAnsi="宋体" w:cs="Times New Roman" w:hint="eastAsia"/>
          <w:b/>
          <w:bCs/>
          <w:szCs w:val="21"/>
          <w:highlight w:val="yellow"/>
          <w:u w:val="double"/>
        </w:rPr>
        <w:t>，重大紧急等特殊情况</w:t>
      </w:r>
      <w:r>
        <w:rPr>
          <w:rFonts w:ascii="宋体" w:eastAsia="宋体" w:hAnsi="宋体" w:cs="Times New Roman" w:hint="eastAsia"/>
          <w:b/>
          <w:bCs/>
          <w:szCs w:val="21"/>
          <w:highlight w:val="yellow"/>
          <w:u w:val="double"/>
          <w:lang w:eastAsia="zh-CN"/>
        </w:rPr>
        <w:t>，</w:t>
      </w:r>
      <w:r>
        <w:rPr>
          <w:rFonts w:ascii="宋体" w:eastAsia="宋体" w:hAnsi="宋体" w:cs="Times New Roman" w:hint="eastAsia"/>
          <w:b/>
          <w:bCs/>
          <w:szCs w:val="21"/>
          <w:highlight w:val="yellow"/>
          <w:u w:val="double"/>
        </w:rPr>
        <w:t>围绕收押</w:t>
      </w:r>
      <w:r>
        <w:rPr>
          <w:rFonts w:ascii="宋体" w:hAnsi="宋体" w:cs="Times New Roman" w:hint="eastAsia"/>
          <w:b/>
          <w:bCs/>
          <w:szCs w:val="21"/>
          <w:highlight w:val="yellow"/>
          <w:u w:val="double"/>
          <w:lang w:eastAsia="zh-CN"/>
        </w:rPr>
        <w:t>、</w:t>
      </w:r>
      <w:r>
        <w:rPr>
          <w:rFonts w:ascii="宋体" w:eastAsia="宋体" w:hAnsi="宋体" w:cs="Times New Roman" w:hint="eastAsia"/>
          <w:b/>
          <w:bCs/>
          <w:szCs w:val="21"/>
          <w:highlight w:val="yellow"/>
          <w:u w:val="double"/>
        </w:rPr>
        <w:t>监所管理</w:t>
      </w:r>
      <w:r>
        <w:rPr>
          <w:rFonts w:ascii="宋体" w:hAnsi="宋体" w:cs="Times New Roman" w:hint="eastAsia"/>
          <w:b/>
          <w:bCs/>
          <w:szCs w:val="21"/>
          <w:highlight w:val="yellow"/>
          <w:u w:val="double"/>
          <w:lang w:eastAsia="zh-CN"/>
        </w:rPr>
        <w:t>、</w:t>
      </w:r>
      <w:r>
        <w:rPr>
          <w:rFonts w:ascii="宋体" w:eastAsia="宋体" w:hAnsi="宋体" w:cs="Times New Roman" w:hint="eastAsia"/>
          <w:b/>
          <w:bCs/>
          <w:szCs w:val="21"/>
          <w:highlight w:val="yellow"/>
          <w:u w:val="double"/>
        </w:rPr>
        <w:t>物品交</w:t>
      </w:r>
      <w:r>
        <w:rPr>
          <w:rFonts w:ascii="宋体" w:eastAsia="宋体" w:hAnsi="宋体" w:cs="Times New Roman" w:hint="eastAsia"/>
          <w:b/>
          <w:bCs/>
          <w:szCs w:val="21"/>
          <w:highlight w:val="yellow"/>
          <w:u w:val="double"/>
          <w:lang w:val="en-US" w:eastAsia="zh-CN"/>
        </w:rPr>
        <w:t>接</w:t>
      </w:r>
      <w:r>
        <w:rPr>
          <w:rFonts w:ascii="宋体" w:hAnsi="宋体" w:cs="Times New Roman" w:hint="eastAsia"/>
          <w:b/>
          <w:bCs/>
          <w:szCs w:val="21"/>
          <w:highlight w:val="yellow"/>
          <w:u w:val="double"/>
          <w:lang w:eastAsia="zh-CN"/>
        </w:rPr>
        <w:t>、</w:t>
      </w:r>
      <w:r>
        <w:rPr>
          <w:rFonts w:ascii="宋体" w:eastAsia="宋体" w:hAnsi="宋体" w:cs="Times New Roman" w:hint="eastAsia"/>
          <w:b/>
          <w:bCs/>
          <w:szCs w:val="21"/>
          <w:highlight w:val="yellow"/>
          <w:u w:val="double"/>
        </w:rPr>
        <w:t>应急处置等方面，按照上级要求指导</w:t>
      </w:r>
      <w:r>
        <w:rPr>
          <w:rFonts w:ascii="宋体" w:eastAsia="宋体" w:hAnsi="宋体" w:cs="Times New Roman" w:hint="eastAsia"/>
          <w:b/>
          <w:bCs/>
          <w:szCs w:val="21"/>
          <w:highlight w:val="yellow"/>
          <w:u w:val="double"/>
          <w:lang w:val="en-US" w:eastAsia="zh-CN"/>
        </w:rPr>
        <w:t>并</w:t>
      </w:r>
      <w:r>
        <w:rPr>
          <w:rFonts w:ascii="宋体" w:eastAsia="宋体" w:hAnsi="宋体" w:cs="Times New Roman" w:hint="eastAsia"/>
          <w:b/>
          <w:bCs/>
          <w:szCs w:val="21"/>
          <w:highlight w:val="yellow"/>
          <w:u w:val="double"/>
        </w:rPr>
        <w:t>协助拘留所岗位做好医疗工作，根据监管需要</w:t>
      </w:r>
      <w:r>
        <w:rPr>
          <w:rFonts w:ascii="宋体" w:hAnsi="宋体" w:cs="Times New Roman" w:hint="eastAsia"/>
          <w:b/>
          <w:bCs/>
          <w:szCs w:val="21"/>
          <w:highlight w:val="yellow"/>
          <w:u w:val="double"/>
          <w:lang w:val="en-US" w:eastAsia="zh-CN"/>
        </w:rPr>
        <w:t>与中标单位协商</w:t>
      </w:r>
      <w:r>
        <w:rPr>
          <w:rFonts w:ascii="宋体" w:eastAsia="宋体" w:hAnsi="宋体" w:cs="Times New Roman" w:hint="eastAsia"/>
          <w:b/>
          <w:bCs/>
          <w:szCs w:val="21"/>
          <w:highlight w:val="yellow"/>
          <w:u w:val="double"/>
        </w:rPr>
        <w:t>调整医务人员的数量和勤务模式，</w:t>
      </w:r>
      <w:r>
        <w:rPr>
          <w:rFonts w:ascii="宋体" w:hAnsi="宋体" w:cs="Times New Roman" w:hint="eastAsia"/>
          <w:b/>
          <w:bCs/>
          <w:szCs w:val="21"/>
          <w:highlight w:val="yellow"/>
          <w:u w:val="double"/>
          <w:lang w:val="en-US" w:eastAsia="zh-CN"/>
        </w:rPr>
        <w:t>确保勤务正常运转；</w:t>
      </w:r>
      <w:r>
        <w:rPr>
          <w:rFonts w:ascii="宋体" w:eastAsia="宋体" w:hAnsi="宋体" w:cs="Times New Roman" w:hint="eastAsia"/>
          <w:b/>
          <w:bCs/>
          <w:szCs w:val="21"/>
          <w:highlight w:val="yellow"/>
          <w:u w:val="double"/>
        </w:rPr>
        <w:t>根据医疗发展及</w:t>
      </w:r>
      <w:r>
        <w:rPr>
          <w:rFonts w:ascii="宋体" w:eastAsia="宋体" w:hAnsi="宋体" w:cs="Times New Roman" w:hint="eastAsia"/>
          <w:b/>
          <w:bCs/>
          <w:szCs w:val="21"/>
          <w:highlight w:val="yellow"/>
          <w:u w:val="double"/>
          <w:lang w:eastAsia="zh-CN"/>
        </w:rPr>
        <w:t>采购人</w:t>
      </w:r>
      <w:r>
        <w:rPr>
          <w:rFonts w:ascii="宋体" w:eastAsia="宋体" w:hAnsi="宋体" w:cs="Times New Roman" w:hint="eastAsia"/>
          <w:b/>
          <w:bCs/>
          <w:szCs w:val="21"/>
          <w:highlight w:val="yellow"/>
          <w:u w:val="double"/>
        </w:rPr>
        <w:t>发展需</w:t>
      </w:r>
      <w:r>
        <w:rPr>
          <w:rFonts w:ascii="宋体" w:eastAsia="宋体" w:hAnsi="宋体" w:cs="Times New Roman" w:hint="eastAsia"/>
          <w:b/>
          <w:bCs/>
          <w:szCs w:val="21"/>
          <w:highlight w:val="yellow"/>
          <w:u w:val="double"/>
          <w:lang w:val="en-US" w:eastAsia="zh-CN"/>
        </w:rPr>
        <w:t>要</w:t>
      </w:r>
      <w:r>
        <w:rPr>
          <w:rFonts w:ascii="宋体" w:eastAsia="宋体" w:hAnsi="宋体" w:cs="Times New Roman" w:hint="eastAsia"/>
          <w:b/>
          <w:bCs/>
          <w:szCs w:val="21"/>
          <w:highlight w:val="yellow"/>
          <w:u w:val="double"/>
        </w:rPr>
        <w:t>，</w:t>
      </w:r>
      <w:r>
        <w:rPr>
          <w:rFonts w:ascii="宋体" w:hAnsi="宋体" w:cs="Times New Roman" w:hint="eastAsia"/>
          <w:b/>
          <w:bCs/>
          <w:szCs w:val="21"/>
          <w:highlight w:val="yellow"/>
          <w:u w:val="double"/>
          <w:lang w:val="en-US" w:eastAsia="zh-CN"/>
        </w:rPr>
        <w:t>采购方需与中标单位协商后，对人员数量进行调整</w:t>
      </w:r>
      <w:r>
        <w:rPr>
          <w:rFonts w:ascii="宋体" w:eastAsia="宋体" w:hAnsi="宋体" w:cs="Times New Roman" w:hint="eastAsia"/>
          <w:b/>
          <w:bCs/>
          <w:szCs w:val="21"/>
          <w:highlight w:val="yellow"/>
          <w:u w:val="double"/>
        </w:rPr>
        <w:t>。</w:t>
      </w:r>
    </w:p>
    <w:p>
      <w:pPr>
        <w:spacing w:line="360" w:lineRule="auto"/>
        <w:ind w:firstLine="420" w:firstLineChars="200"/>
        <w:jc w:val="left"/>
        <w:rPr>
          <w:rFonts w:ascii="宋体" w:eastAsia="宋体" w:hAnsi="宋体" w:cs="Times New Roman" w:hint="eastAsia"/>
          <w:b/>
          <w:bCs/>
          <w:szCs w:val="21"/>
          <w:highlight w:val="none"/>
          <w:u w:val="double"/>
        </w:rPr>
      </w:pPr>
      <w:r>
        <w:rPr>
          <w:rFonts w:ascii="宋体" w:eastAsia="宋体" w:hAnsi="宋体" w:cs="Times New Roman" w:hint="eastAsia"/>
          <w:b/>
          <w:bCs/>
          <w:szCs w:val="21"/>
          <w:highlight w:val="none"/>
          <w:u w:val="double"/>
          <w:lang w:val="en-US" w:eastAsia="zh-CN"/>
        </w:rPr>
        <w:t>5.</w:t>
      </w:r>
      <w:r>
        <w:rPr>
          <w:rFonts w:ascii="宋体" w:eastAsia="宋体" w:hAnsi="宋体" w:cs="Times New Roman" w:hint="eastAsia"/>
          <w:b/>
          <w:bCs/>
          <w:szCs w:val="21"/>
          <w:highlight w:val="none"/>
          <w:u w:val="double"/>
        </w:rPr>
        <w:t>本</w:t>
      </w:r>
      <w:r>
        <w:rPr>
          <w:rFonts w:ascii="宋体" w:eastAsia="宋体" w:hAnsi="宋体" w:cs="Times New Roman" w:hint="eastAsia"/>
          <w:b/>
          <w:bCs/>
          <w:szCs w:val="21"/>
          <w:highlight w:val="none"/>
          <w:u w:val="double"/>
          <w:lang w:val="en-US" w:eastAsia="zh-CN"/>
        </w:rPr>
        <w:t>医疗</w:t>
      </w:r>
      <w:r>
        <w:rPr>
          <w:rFonts w:ascii="宋体" w:eastAsia="宋体" w:hAnsi="宋体" w:cs="Times New Roman" w:hint="eastAsia"/>
          <w:b/>
          <w:bCs/>
          <w:szCs w:val="21"/>
          <w:highlight w:val="none"/>
          <w:u w:val="double"/>
        </w:rPr>
        <w:t>项目预算包含医护人员</w:t>
      </w:r>
      <w:r>
        <w:rPr>
          <w:rFonts w:ascii="宋体" w:eastAsia="宋体" w:hAnsi="宋体" w:cs="Times New Roman" w:hint="eastAsia"/>
          <w:b/>
          <w:bCs/>
          <w:szCs w:val="21"/>
          <w:highlight w:val="none"/>
          <w:u w:val="double"/>
          <w:lang w:val="en-US" w:eastAsia="zh-CN"/>
        </w:rPr>
        <w:t>薪资</w:t>
      </w:r>
      <w:r>
        <w:rPr>
          <w:rFonts w:ascii="宋体" w:eastAsia="宋体" w:hAnsi="宋体" w:cs="Times New Roman" w:hint="eastAsia"/>
          <w:b/>
          <w:bCs/>
          <w:szCs w:val="21"/>
          <w:highlight w:val="none"/>
          <w:u w:val="double"/>
        </w:rPr>
        <w:t>、日常耗材费用、相关日常医疗器械设</w:t>
      </w:r>
      <w:r>
        <w:rPr>
          <w:rFonts w:ascii="宋体" w:eastAsia="宋体" w:hAnsi="宋体" w:cs="Times New Roman" w:hint="eastAsia"/>
          <w:b/>
          <w:bCs/>
          <w:szCs w:val="21"/>
          <w:highlight w:val="none"/>
          <w:u w:val="double"/>
          <w:lang w:val="en-US" w:eastAsia="zh-CN"/>
        </w:rPr>
        <w:t>备</w:t>
      </w:r>
      <w:r>
        <w:rPr>
          <w:rFonts w:ascii="宋体" w:eastAsia="宋体" w:hAnsi="宋体" w:cs="Times New Roman" w:hint="eastAsia"/>
          <w:b/>
          <w:bCs/>
          <w:szCs w:val="21"/>
          <w:highlight w:val="none"/>
          <w:u w:val="double"/>
        </w:rPr>
        <w:t>维护经费</w:t>
      </w:r>
      <w:r>
        <w:rPr>
          <w:rFonts w:ascii="宋体" w:hAnsi="宋体" w:cs="Times New Roman" w:hint="eastAsia"/>
          <w:b/>
          <w:bCs/>
          <w:szCs w:val="21"/>
          <w:highlight w:val="none"/>
          <w:u w:val="double"/>
          <w:lang w:eastAsia="zh-CN"/>
        </w:rPr>
        <w:t>。</w:t>
      </w:r>
      <w:r>
        <w:rPr>
          <w:rFonts w:ascii="宋体" w:eastAsia="宋体" w:hAnsi="宋体" w:cs="Times New Roman" w:hint="eastAsia"/>
          <w:b/>
          <w:bCs/>
          <w:szCs w:val="21"/>
          <w:highlight w:val="none"/>
          <w:u w:val="double"/>
        </w:rPr>
        <w:t>出所</w:t>
      </w:r>
      <w:r>
        <w:rPr>
          <w:rFonts w:ascii="宋体" w:eastAsia="宋体" w:hAnsi="宋体" w:cs="Times New Roman" w:hint="eastAsia"/>
          <w:b/>
          <w:bCs/>
          <w:szCs w:val="21"/>
          <w:highlight w:val="none"/>
          <w:u w:val="double"/>
          <w:lang w:val="en-US" w:eastAsia="zh-CN"/>
        </w:rPr>
        <w:t>就医</w:t>
      </w:r>
      <w:r>
        <w:rPr>
          <w:rFonts w:ascii="宋体" w:eastAsia="宋体" w:hAnsi="宋体" w:cs="Times New Roman" w:hint="eastAsia"/>
          <w:b/>
          <w:bCs/>
          <w:szCs w:val="21"/>
          <w:highlight w:val="none"/>
          <w:u w:val="double"/>
        </w:rPr>
        <w:t>费用</w:t>
      </w:r>
      <w:r>
        <w:rPr>
          <w:rFonts w:ascii="宋体" w:hAnsi="宋体" w:cs="Times New Roman" w:hint="eastAsia"/>
          <w:b/>
          <w:bCs/>
          <w:szCs w:val="21"/>
          <w:highlight w:val="none"/>
          <w:u w:val="double"/>
          <w:lang w:val="en-US" w:eastAsia="zh-CN"/>
        </w:rPr>
        <w:t>记</w:t>
      </w:r>
      <w:r>
        <w:rPr>
          <w:rFonts w:ascii="宋体" w:eastAsia="宋体" w:hAnsi="宋体" w:cs="Times New Roman" w:hint="eastAsia"/>
          <w:b/>
          <w:bCs/>
          <w:szCs w:val="21"/>
          <w:highlight w:val="none"/>
          <w:u w:val="double"/>
          <w:lang w:val="en-US" w:eastAsia="zh-CN"/>
        </w:rPr>
        <w:t>入</w:t>
      </w:r>
      <w:r>
        <w:rPr>
          <w:rFonts w:ascii="宋体" w:hAnsi="宋体" w:cs="Times New Roman" w:hint="eastAsia"/>
          <w:b/>
          <w:bCs/>
          <w:szCs w:val="21"/>
          <w:highlight w:val="none"/>
          <w:u w:val="double"/>
          <w:lang w:val="en-US" w:eastAsia="zh-CN"/>
        </w:rPr>
        <w:t>“</w:t>
      </w:r>
      <w:r>
        <w:rPr>
          <w:rFonts w:ascii="宋体" w:eastAsia="宋体" w:hAnsi="宋体" w:cs="Times New Roman" w:hint="eastAsia"/>
          <w:b/>
          <w:bCs/>
          <w:szCs w:val="21"/>
          <w:highlight w:val="none"/>
          <w:u w:val="double"/>
          <w:lang w:val="en-US" w:eastAsia="zh-CN"/>
        </w:rPr>
        <w:t>绿色通道</w:t>
      </w:r>
      <w:r>
        <w:rPr>
          <w:rFonts w:ascii="宋体" w:hAnsi="宋体" w:cs="Times New Roman" w:hint="eastAsia"/>
          <w:b/>
          <w:bCs/>
          <w:szCs w:val="21"/>
          <w:highlight w:val="none"/>
          <w:u w:val="double"/>
          <w:lang w:val="en-US" w:eastAsia="zh-CN"/>
        </w:rPr>
        <w:t>”宝安公安分局</w:t>
      </w:r>
      <w:r>
        <w:rPr>
          <w:rFonts w:ascii="宋体" w:eastAsia="宋体" w:hAnsi="宋体" w:cs="Times New Roman" w:hint="eastAsia"/>
          <w:b/>
          <w:bCs/>
          <w:szCs w:val="21"/>
          <w:highlight w:val="none"/>
          <w:u w:val="double"/>
          <w:lang w:val="en-US" w:eastAsia="zh-CN"/>
        </w:rPr>
        <w:t>单位账户</w:t>
      </w:r>
      <w:r>
        <w:rPr>
          <w:rFonts w:ascii="宋体" w:hAnsi="宋体" w:cs="Times New Roman" w:hint="eastAsia"/>
          <w:b/>
          <w:bCs/>
          <w:szCs w:val="21"/>
          <w:highlight w:val="none"/>
          <w:u w:val="double"/>
          <w:lang w:val="en-US" w:eastAsia="zh-CN"/>
        </w:rPr>
        <w:t>另行结算。</w:t>
      </w:r>
      <w:r>
        <w:rPr>
          <w:rFonts w:ascii="宋体" w:eastAsia="宋体" w:hAnsi="宋体" w:cs="Times New Roman" w:hint="eastAsia"/>
          <w:b/>
          <w:bCs/>
          <w:szCs w:val="21"/>
          <w:highlight w:val="none"/>
          <w:u w:val="double"/>
        </w:rPr>
        <w:t>被</w:t>
      </w:r>
      <w:r>
        <w:rPr>
          <w:rFonts w:ascii="宋体" w:eastAsia="宋体" w:hAnsi="宋体" w:cs="Times New Roman" w:hint="eastAsia"/>
          <w:b/>
          <w:bCs/>
          <w:szCs w:val="21"/>
          <w:highlight w:val="none"/>
          <w:u w:val="double"/>
          <w:lang w:val="en-US" w:eastAsia="zh-CN"/>
        </w:rPr>
        <w:t>拘留</w:t>
      </w:r>
      <w:r>
        <w:rPr>
          <w:rFonts w:ascii="宋体" w:eastAsia="宋体" w:hAnsi="宋体" w:cs="Times New Roman" w:hint="eastAsia"/>
          <w:b/>
          <w:bCs/>
          <w:szCs w:val="21"/>
          <w:highlight w:val="none"/>
          <w:u w:val="double"/>
        </w:rPr>
        <w:t>人员</w:t>
      </w:r>
      <w:r>
        <w:rPr>
          <w:rFonts w:ascii="宋体" w:eastAsia="宋体" w:hAnsi="宋体" w:cs="Times New Roman" w:hint="eastAsia"/>
          <w:b/>
          <w:bCs/>
          <w:szCs w:val="21"/>
          <w:highlight w:val="none"/>
          <w:u w:val="double"/>
          <w:lang w:val="en-US" w:eastAsia="zh-CN"/>
        </w:rPr>
        <w:t>在所</w:t>
      </w:r>
      <w:r>
        <w:rPr>
          <w:rFonts w:ascii="宋体" w:eastAsia="宋体" w:hAnsi="宋体" w:cs="Times New Roman" w:hint="eastAsia"/>
          <w:b/>
          <w:bCs/>
          <w:szCs w:val="21"/>
          <w:highlight w:val="none"/>
          <w:u w:val="double"/>
        </w:rPr>
        <w:t>体</w:t>
      </w:r>
      <w:r>
        <w:rPr>
          <w:rFonts w:ascii="宋体" w:eastAsia="宋体" w:hAnsi="宋体" w:cs="Times New Roman" w:hint="eastAsia"/>
          <w:b/>
          <w:bCs/>
          <w:szCs w:val="21"/>
          <w:highlight w:val="none"/>
          <w:u w:val="double"/>
          <w:lang w:val="en-US" w:eastAsia="zh-CN"/>
        </w:rPr>
        <w:t>检治疗</w:t>
      </w:r>
      <w:r>
        <w:rPr>
          <w:rFonts w:ascii="宋体" w:eastAsia="宋体" w:hAnsi="宋体" w:cs="Times New Roman" w:hint="eastAsia"/>
          <w:b/>
          <w:bCs/>
          <w:szCs w:val="21"/>
          <w:highlight w:val="none"/>
          <w:u w:val="double"/>
        </w:rPr>
        <w:t>费用</w:t>
      </w:r>
      <w:r>
        <w:rPr>
          <w:rFonts w:ascii="宋体" w:eastAsia="宋体" w:hAnsi="宋体" w:cs="Times New Roman" w:hint="eastAsia"/>
          <w:b/>
          <w:bCs/>
          <w:szCs w:val="21"/>
          <w:highlight w:val="none"/>
          <w:u w:val="double"/>
          <w:lang w:val="en-US" w:eastAsia="zh-CN"/>
        </w:rPr>
        <w:t>计入门诊医疗账户</w:t>
      </w:r>
      <w:r>
        <w:rPr>
          <w:rFonts w:ascii="宋体" w:hAnsi="宋体" w:cs="Times New Roman" w:hint="eastAsia"/>
          <w:b/>
          <w:bCs/>
          <w:szCs w:val="21"/>
          <w:highlight w:val="none"/>
          <w:u w:val="double"/>
          <w:lang w:val="en-US" w:eastAsia="zh-CN"/>
        </w:rPr>
        <w:t>另行结算</w:t>
      </w:r>
      <w:r>
        <w:rPr>
          <w:rFonts w:ascii="宋体" w:eastAsia="宋体" w:hAnsi="宋体" w:cs="Times New Roman" w:hint="eastAsia"/>
          <w:b/>
          <w:bCs/>
          <w:szCs w:val="21"/>
          <w:highlight w:val="none"/>
          <w:u w:val="double"/>
          <w:lang w:val="en-US" w:eastAsia="zh-CN"/>
        </w:rPr>
        <w:t>。</w:t>
      </w:r>
      <w:r>
        <w:rPr>
          <w:rFonts w:ascii="宋体" w:eastAsia="宋体" w:hAnsi="宋体" w:cs="Times New Roman" w:hint="eastAsia"/>
          <w:b/>
          <w:bCs/>
          <w:szCs w:val="21"/>
          <w:highlight w:val="none"/>
          <w:u w:val="double"/>
          <w:lang w:eastAsia="zh-CN"/>
        </w:rPr>
        <w:t>中标供应商</w:t>
      </w:r>
      <w:r>
        <w:rPr>
          <w:rFonts w:ascii="宋体" w:eastAsia="宋体" w:hAnsi="宋体" w:cs="Times New Roman" w:hint="eastAsia"/>
          <w:b/>
          <w:bCs/>
          <w:szCs w:val="21"/>
          <w:highlight w:val="none"/>
          <w:u w:val="double"/>
        </w:rPr>
        <w:t>承</w:t>
      </w:r>
      <w:r>
        <w:rPr>
          <w:rFonts w:ascii="宋体" w:eastAsia="宋体" w:hAnsi="宋体" w:cs="Times New Roman" w:hint="eastAsia"/>
          <w:b/>
          <w:bCs/>
          <w:szCs w:val="21"/>
          <w:highlight w:val="none"/>
          <w:u w:val="double"/>
          <w:lang w:val="en-US" w:eastAsia="zh-CN"/>
        </w:rPr>
        <w:t>接</w:t>
      </w:r>
      <w:r>
        <w:rPr>
          <w:rFonts w:ascii="宋体" w:eastAsia="宋体" w:hAnsi="宋体" w:cs="Times New Roman" w:hint="eastAsia"/>
          <w:b/>
          <w:bCs/>
          <w:szCs w:val="21"/>
          <w:highlight w:val="none"/>
          <w:u w:val="double"/>
        </w:rPr>
        <w:t>本项目期间</w:t>
      </w:r>
      <w:r>
        <w:rPr>
          <w:rFonts w:ascii="宋体" w:eastAsia="宋体" w:hAnsi="宋体" w:cs="Times New Roman" w:hint="eastAsia"/>
          <w:b/>
          <w:bCs/>
          <w:szCs w:val="21"/>
          <w:highlight w:val="none"/>
          <w:u w:val="double"/>
          <w:lang w:eastAsia="zh-CN"/>
        </w:rPr>
        <w:t>，</w:t>
      </w:r>
      <w:r>
        <w:rPr>
          <w:rFonts w:ascii="宋体" w:eastAsia="宋体" w:hAnsi="宋体" w:cs="Times New Roman" w:hint="eastAsia"/>
          <w:b/>
          <w:bCs/>
          <w:szCs w:val="21"/>
          <w:highlight w:val="none"/>
          <w:u w:val="double"/>
          <w:lang w:val="en-US" w:eastAsia="zh-CN"/>
        </w:rPr>
        <w:t>须</w:t>
      </w:r>
      <w:r>
        <w:rPr>
          <w:rFonts w:ascii="宋体" w:eastAsia="宋体" w:hAnsi="宋体" w:cs="Times New Roman" w:hint="eastAsia"/>
          <w:b/>
          <w:bCs/>
          <w:szCs w:val="21"/>
          <w:highlight w:val="none"/>
          <w:u w:val="double"/>
        </w:rPr>
        <w:t>按实际发生费用事项，及时支付</w:t>
      </w:r>
      <w:r>
        <w:rPr>
          <w:rFonts w:ascii="宋体" w:hAnsi="宋体" w:cs="Times New Roman" w:hint="eastAsia"/>
          <w:b/>
          <w:bCs/>
          <w:szCs w:val="21"/>
          <w:highlight w:val="none"/>
          <w:u w:val="double"/>
          <w:lang w:val="en-US" w:eastAsia="zh-CN"/>
        </w:rPr>
        <w:t>派驻人员</w:t>
      </w:r>
      <w:r>
        <w:rPr>
          <w:rFonts w:ascii="宋体" w:eastAsia="宋体" w:hAnsi="宋体" w:cs="Times New Roman" w:hint="eastAsia"/>
          <w:b/>
          <w:bCs/>
          <w:szCs w:val="21"/>
          <w:highlight w:val="none"/>
          <w:u w:val="double"/>
        </w:rPr>
        <w:t>费用</w:t>
      </w:r>
      <w:r>
        <w:rPr>
          <w:rFonts w:ascii="宋体" w:eastAsia="宋体" w:hAnsi="宋体" w:cs="Times New Roman" w:hint="eastAsia"/>
          <w:b/>
          <w:bCs/>
          <w:szCs w:val="21"/>
          <w:highlight w:val="none"/>
          <w:u w:val="double"/>
          <w:lang w:eastAsia="zh-CN"/>
        </w:rPr>
        <w:t>，</w:t>
      </w:r>
      <w:r>
        <w:rPr>
          <w:rFonts w:ascii="宋体" w:eastAsia="宋体" w:hAnsi="宋体" w:cs="Times New Roman" w:hint="eastAsia"/>
          <w:b/>
          <w:bCs/>
          <w:sz w:val="21"/>
          <w:szCs w:val="21"/>
          <w:highlight w:val="none"/>
          <w:u w:val="double"/>
        </w:rPr>
        <w:t>采购人仅对服务质量和人员资质进行监督</w:t>
      </w:r>
      <w:r>
        <w:rPr>
          <w:rFonts w:ascii="宋体" w:eastAsia="宋体" w:hAnsi="宋体" w:cs="Times New Roman" w:hint="eastAsia"/>
          <w:b/>
          <w:bCs/>
          <w:sz w:val="21"/>
          <w:szCs w:val="21"/>
          <w:highlight w:val="none"/>
          <w:u w:val="double"/>
          <w:lang w:eastAsia="zh-CN"/>
        </w:rPr>
        <w:t>，</w:t>
      </w:r>
      <w:r>
        <w:rPr>
          <w:rFonts w:ascii="宋体" w:eastAsia="宋体" w:hAnsi="宋体" w:cs="Times New Roman" w:hint="eastAsia"/>
          <w:b/>
          <w:bCs/>
          <w:szCs w:val="21"/>
          <w:highlight w:val="none"/>
          <w:u w:val="double"/>
          <w:lang w:val="en-US" w:eastAsia="zh-CN"/>
        </w:rPr>
        <w:t>不参与派驻人员薪资结算</w:t>
      </w:r>
      <w:r>
        <w:rPr>
          <w:rFonts w:ascii="宋体" w:eastAsia="宋体" w:hAnsi="宋体" w:cs="Times New Roman" w:hint="eastAsia"/>
          <w:b/>
          <w:bCs/>
          <w:szCs w:val="21"/>
          <w:highlight w:val="none"/>
          <w:u w:val="double"/>
        </w:rPr>
        <w:t>。</w:t>
      </w:r>
    </w:p>
    <w:p>
      <w:pPr>
        <w:spacing w:line="360" w:lineRule="auto"/>
        <w:ind w:firstLine="420" w:firstLineChars="200"/>
        <w:jc w:val="left"/>
        <w:rPr>
          <w:rFonts w:ascii="宋体" w:eastAsia="宋体" w:hAnsi="宋体" w:cs="Times New Roman" w:hint="eastAsia"/>
          <w:b w:val="0"/>
          <w:bCs w:val="0"/>
          <w:szCs w:val="21"/>
          <w:highlight w:val="none"/>
          <w:lang w:val="en-US" w:eastAsia="zh-CN"/>
        </w:rPr>
      </w:pPr>
      <w:r>
        <w:rPr>
          <w:rFonts w:ascii="宋体" w:eastAsia="宋体" w:hAnsi="宋体" w:cs="Times New Roman" w:hint="eastAsia"/>
          <w:b w:val="0"/>
          <w:bCs w:val="0"/>
          <w:szCs w:val="21"/>
          <w:highlight w:val="none"/>
          <w:lang w:val="en-US" w:eastAsia="zh-CN"/>
        </w:rPr>
        <w:t>6.中标供应商提供配齐必需的医疗设备。</w:t>
      </w:r>
    </w:p>
    <w:p>
      <w:pPr>
        <w:spacing w:line="360" w:lineRule="auto"/>
        <w:ind w:firstLine="420" w:firstLineChars="200"/>
        <w:jc w:val="left"/>
        <w:rPr>
          <w:rFonts w:ascii="宋体" w:eastAsia="宋体" w:hAnsi="宋体" w:cs="Times New Roman" w:hint="eastAsia"/>
          <w:b w:val="0"/>
          <w:bCs w:val="0"/>
          <w:szCs w:val="21"/>
          <w:highlight w:val="none"/>
          <w:lang w:val="en-US" w:eastAsia="zh-CN"/>
        </w:rPr>
      </w:pPr>
      <w:r>
        <w:rPr>
          <w:rFonts w:ascii="宋体" w:eastAsia="宋体" w:hAnsi="宋体" w:cs="Times New Roman" w:hint="eastAsia"/>
          <w:b w:val="0"/>
          <w:bCs w:val="0"/>
          <w:szCs w:val="21"/>
          <w:highlight w:val="none"/>
          <w:lang w:val="en-US" w:eastAsia="zh-CN"/>
        </w:rPr>
        <w:t>7.</w:t>
      </w:r>
      <w:r>
        <w:rPr>
          <w:rFonts w:ascii="宋体" w:eastAsia="宋体" w:hAnsi="宋体" w:cs="Times New Roman" w:hint="eastAsia"/>
          <w:b w:val="0"/>
          <w:bCs w:val="0"/>
          <w:szCs w:val="21"/>
          <w:highlight w:val="none"/>
        </w:rPr>
        <w:t>药剂师白天1名，负责协同管理药房及</w:t>
      </w:r>
      <w:r>
        <w:rPr>
          <w:rFonts w:ascii="宋体" w:eastAsia="宋体" w:hAnsi="宋体" w:cs="Times New Roman" w:hint="eastAsia"/>
          <w:b w:val="0"/>
          <w:bCs w:val="0"/>
          <w:szCs w:val="21"/>
          <w:highlight w:val="none"/>
          <w:lang w:val="en-US" w:eastAsia="zh-CN"/>
        </w:rPr>
        <w:t>药品相关质控</w:t>
      </w:r>
      <w:r>
        <w:rPr>
          <w:rFonts w:ascii="宋体" w:eastAsia="宋体" w:hAnsi="宋体" w:cs="Times New Roman" w:hint="eastAsia"/>
          <w:b w:val="0"/>
          <w:bCs w:val="0"/>
          <w:szCs w:val="21"/>
          <w:highlight w:val="none"/>
        </w:rPr>
        <w:t>工作。（药剂师工作服从监所安排，常驻</w:t>
      </w:r>
      <w:r>
        <w:rPr>
          <w:rFonts w:ascii="宋体" w:eastAsia="宋体" w:hAnsi="宋体" w:cs="Times New Roman" w:hint="eastAsia"/>
          <w:b w:val="0"/>
          <w:bCs w:val="0"/>
          <w:szCs w:val="21"/>
          <w:highlight w:val="none"/>
          <w:lang w:val="en-US" w:eastAsia="zh-CN"/>
        </w:rPr>
        <w:t>宝安拘留所）。</w:t>
      </w:r>
    </w:p>
    <w:p>
      <w:pPr>
        <w:spacing w:line="360" w:lineRule="auto"/>
        <w:ind w:firstLine="420" w:firstLineChars="200"/>
        <w:jc w:val="left"/>
        <w:rPr>
          <w:rFonts w:ascii="宋体" w:eastAsia="宋体" w:hAnsi="宋体" w:cs="Times New Roman" w:hint="eastAsia"/>
          <w:b/>
          <w:bCs/>
          <w:szCs w:val="21"/>
          <w:lang w:val="en-US" w:eastAsia="zh-CN"/>
        </w:rPr>
      </w:pPr>
      <w:r>
        <w:rPr>
          <w:rFonts w:ascii="宋体" w:eastAsia="宋体" w:hAnsi="宋体" w:cs="Times New Roman" w:hint="eastAsia"/>
          <w:b/>
          <w:bCs/>
          <w:szCs w:val="21"/>
          <w:lang w:val="en-US" w:eastAsia="zh-CN"/>
        </w:rPr>
        <w:t>（二）中标供应商的权利与义务</w:t>
      </w:r>
    </w:p>
    <w:p>
      <w:pPr>
        <w:spacing w:line="360" w:lineRule="auto"/>
        <w:ind w:firstLine="420" w:firstLineChars="200"/>
        <w:jc w:val="left"/>
        <w:rPr>
          <w:rFonts w:ascii="宋体" w:eastAsia="宋体" w:hAnsi="宋体" w:cs="Times New Roman" w:hint="eastAsia"/>
          <w:szCs w:val="21"/>
          <w:lang w:val="en-US" w:eastAsia="zh-CN"/>
        </w:rPr>
      </w:pPr>
      <w:r>
        <w:rPr>
          <w:rFonts w:ascii="宋体" w:eastAsia="宋体" w:hAnsi="宋体" w:cs="Times New Roman" w:hint="eastAsia"/>
          <w:szCs w:val="21"/>
          <w:lang w:val="en-US" w:eastAsia="zh-CN"/>
        </w:rPr>
        <w:t>1.负责门诊部科室设置，提供</w:t>
      </w:r>
      <w:r>
        <w:rPr>
          <w:rFonts w:ascii="宋体" w:hAnsi="宋体" w:cs="Times New Roman" w:hint="eastAsia"/>
          <w:szCs w:val="21"/>
          <w:lang w:val="en-US" w:eastAsia="zh-CN"/>
        </w:rPr>
        <w:t>监管场所</w:t>
      </w:r>
      <w:r>
        <w:rPr>
          <w:rFonts w:ascii="宋体" w:eastAsia="宋体" w:hAnsi="宋体" w:cs="Times New Roman" w:hint="eastAsia"/>
          <w:szCs w:val="21"/>
          <w:lang w:val="en-US" w:eastAsia="zh-CN"/>
        </w:rPr>
        <w:t>在押人员基本医疗保障及日常诊疗服务。</w:t>
      </w:r>
    </w:p>
    <w:p>
      <w:pPr>
        <w:spacing w:line="360" w:lineRule="auto"/>
        <w:ind w:firstLine="420" w:firstLineChars="200"/>
        <w:jc w:val="left"/>
        <w:rPr>
          <w:rFonts w:ascii="宋体" w:eastAsia="宋体" w:hAnsi="宋体" w:cs="Times New Roman" w:hint="eastAsia"/>
          <w:szCs w:val="21"/>
          <w:lang w:val="en-US" w:eastAsia="zh-CN"/>
        </w:rPr>
      </w:pPr>
      <w:r>
        <w:rPr>
          <w:rFonts w:ascii="宋体" w:eastAsia="宋体" w:hAnsi="宋体" w:cs="Times New Roman" w:hint="eastAsia"/>
          <w:szCs w:val="21"/>
          <w:lang w:val="en-US" w:eastAsia="zh-CN"/>
        </w:rPr>
        <w:t>2.负责对监所医务人员进行管理和考核，与工资待遇挂钩，并建立</w:t>
      </w:r>
      <w:r>
        <w:rPr>
          <w:rFonts w:ascii="宋体" w:hAnsi="宋体" w:cs="Times New Roman" w:hint="eastAsia"/>
          <w:szCs w:val="21"/>
          <w:lang w:val="en-US" w:eastAsia="zh-CN"/>
        </w:rPr>
        <w:t>监管场所派驻</w:t>
      </w:r>
      <w:r>
        <w:rPr>
          <w:rFonts w:ascii="宋体" w:eastAsia="宋体" w:hAnsi="宋体" w:cs="Times New Roman" w:hint="eastAsia"/>
          <w:szCs w:val="21"/>
          <w:lang w:val="en-US" w:eastAsia="zh-CN"/>
        </w:rPr>
        <w:t>医务</w:t>
      </w:r>
      <w:r>
        <w:rPr>
          <w:rFonts w:ascii="宋体" w:hAnsi="宋体" w:cs="Times New Roman" w:hint="eastAsia"/>
          <w:szCs w:val="21"/>
          <w:lang w:val="en-US" w:eastAsia="zh-CN"/>
        </w:rPr>
        <w:t>人员</w:t>
      </w:r>
      <w:r>
        <w:rPr>
          <w:rFonts w:ascii="宋体" w:eastAsia="宋体" w:hAnsi="宋体" w:cs="Times New Roman" w:hint="eastAsia"/>
          <w:szCs w:val="21"/>
          <w:lang w:val="en-US" w:eastAsia="zh-CN"/>
        </w:rPr>
        <w:t>培训，进修机制。</w:t>
      </w:r>
    </w:p>
    <w:p>
      <w:pPr>
        <w:spacing w:line="360" w:lineRule="auto"/>
        <w:ind w:firstLine="420" w:firstLineChars="200"/>
        <w:jc w:val="left"/>
        <w:rPr>
          <w:rFonts w:ascii="宋体" w:eastAsia="宋体" w:hAnsi="宋体" w:cs="Times New Roman" w:hint="eastAsia"/>
          <w:szCs w:val="21"/>
          <w:lang w:val="en-US" w:eastAsia="zh-CN"/>
        </w:rPr>
      </w:pPr>
      <w:r>
        <w:rPr>
          <w:rFonts w:ascii="宋体" w:eastAsia="宋体" w:hAnsi="宋体" w:cs="Times New Roman" w:hint="eastAsia"/>
          <w:szCs w:val="21"/>
          <w:lang w:val="en-US" w:eastAsia="zh-CN"/>
        </w:rPr>
        <w:t>3. 负责建立健全门诊部各项规章管理制度，门诊部工作人员严格遵守采购人的相关规章制度及纪律要求。</w:t>
      </w:r>
    </w:p>
    <w:p>
      <w:pPr>
        <w:spacing w:line="360" w:lineRule="auto"/>
        <w:ind w:firstLine="420" w:firstLineChars="200"/>
        <w:jc w:val="left"/>
        <w:rPr>
          <w:rFonts w:ascii="宋体" w:eastAsia="宋体" w:hAnsi="宋体" w:cs="Times New Roman" w:hint="eastAsia"/>
          <w:szCs w:val="21"/>
          <w:lang w:val="en-US" w:eastAsia="zh-CN"/>
        </w:rPr>
      </w:pPr>
      <w:r>
        <w:rPr>
          <w:rFonts w:ascii="宋体" w:eastAsia="宋体" w:hAnsi="宋体" w:cs="Times New Roman" w:hint="eastAsia"/>
          <w:szCs w:val="21"/>
          <w:lang w:val="en-US" w:eastAsia="zh-CN"/>
        </w:rPr>
        <w:t>4.负责监所门诊部信息化建设和医疗系统的日常运作维护，实现监所医疗卫生工作信息化及远程会诊，并确保数据安全。</w:t>
      </w:r>
    </w:p>
    <w:p>
      <w:pPr>
        <w:spacing w:line="360" w:lineRule="auto"/>
        <w:ind w:firstLine="420" w:firstLineChars="200"/>
        <w:jc w:val="left"/>
        <w:rPr>
          <w:rFonts w:ascii="宋体" w:eastAsia="宋体" w:hAnsi="宋体" w:cs="Times New Roman" w:hint="eastAsia"/>
          <w:szCs w:val="21"/>
          <w:lang w:val="en-US" w:eastAsia="zh-CN"/>
        </w:rPr>
      </w:pPr>
      <w:r>
        <w:rPr>
          <w:rFonts w:ascii="宋体" w:eastAsia="宋体" w:hAnsi="宋体" w:cs="Times New Roman" w:hint="eastAsia"/>
          <w:szCs w:val="21"/>
          <w:lang w:val="en-US" w:eastAsia="zh-CN"/>
        </w:rPr>
        <w:t>5.根据监所医疗勤务模式安排，负责提出监所门诊部用人计划，配备足够的医务人员，并保证监所医务人员的相对稳定。</w:t>
      </w:r>
    </w:p>
    <w:p>
      <w:pPr>
        <w:spacing w:line="360" w:lineRule="auto"/>
        <w:ind w:firstLine="420" w:firstLineChars="200"/>
        <w:jc w:val="left"/>
        <w:rPr>
          <w:rFonts w:ascii="宋体" w:eastAsia="宋体" w:hAnsi="宋体" w:cs="Times New Roman" w:hint="eastAsia"/>
          <w:szCs w:val="21"/>
          <w:lang w:val="en-US" w:eastAsia="zh-CN"/>
        </w:rPr>
      </w:pPr>
      <w:r>
        <w:rPr>
          <w:rFonts w:ascii="宋体" w:eastAsia="宋体" w:hAnsi="宋体" w:cs="Times New Roman" w:hint="eastAsia"/>
          <w:szCs w:val="21"/>
          <w:lang w:val="en-US" w:eastAsia="zh-CN"/>
        </w:rPr>
        <w:t>6.负责保证医疗质量，坚持合理检查、合理治疗、合理用药原则，努力提高医疗水平和服务质量。</w:t>
      </w:r>
    </w:p>
    <w:p>
      <w:pPr>
        <w:spacing w:line="360" w:lineRule="auto"/>
        <w:ind w:firstLine="420" w:firstLineChars="200"/>
        <w:jc w:val="left"/>
        <w:rPr>
          <w:rFonts w:ascii="宋体" w:eastAsia="宋体" w:hAnsi="宋体" w:cs="Times New Roman" w:hint="eastAsia"/>
          <w:b w:val="0"/>
          <w:bCs w:val="0"/>
          <w:szCs w:val="21"/>
          <w:lang w:val="en-US" w:eastAsia="zh-CN"/>
        </w:rPr>
      </w:pPr>
      <w:r>
        <w:rPr>
          <w:rFonts w:ascii="宋体" w:eastAsia="宋体" w:hAnsi="宋体" w:cs="Times New Roman" w:hint="eastAsia"/>
          <w:b w:val="0"/>
          <w:bCs w:val="0"/>
          <w:szCs w:val="21"/>
          <w:lang w:val="en-US" w:eastAsia="zh-CN"/>
        </w:rPr>
        <w:t>7.负责与采购人建立各种突发事件应急联动处置工作机制，制定应急预案，中标供应商应积极参与处置。</w:t>
      </w:r>
    </w:p>
    <w:p>
      <w:pPr>
        <w:spacing w:line="360" w:lineRule="auto"/>
        <w:ind w:firstLine="420" w:firstLineChars="200"/>
        <w:jc w:val="left"/>
        <w:rPr>
          <w:rFonts w:ascii="宋体" w:eastAsia="宋体" w:hAnsi="宋体" w:cs="Times New Roman" w:hint="eastAsia"/>
          <w:szCs w:val="21"/>
          <w:lang w:val="en-US" w:eastAsia="zh-CN"/>
        </w:rPr>
      </w:pPr>
      <w:r>
        <w:rPr>
          <w:rFonts w:ascii="宋体" w:eastAsia="宋体" w:hAnsi="宋体" w:cs="Times New Roman" w:hint="eastAsia"/>
          <w:szCs w:val="21"/>
          <w:lang w:val="en-US" w:eastAsia="zh-CN"/>
        </w:rPr>
        <w:t>8.负责根据体检资料、诊断结论，按照相关法律法规及收押相关规定，对患病的被送押人员、在押人员提出医学建议供采购人评估。</w:t>
      </w:r>
    </w:p>
    <w:p>
      <w:pPr>
        <w:spacing w:line="360" w:lineRule="auto"/>
        <w:ind w:firstLine="420" w:firstLineChars="200"/>
        <w:jc w:val="left"/>
        <w:rPr>
          <w:rFonts w:ascii="宋体" w:eastAsia="宋体" w:hAnsi="宋体" w:cs="Times New Roman" w:hint="eastAsia"/>
          <w:b/>
          <w:bCs/>
          <w:szCs w:val="21"/>
          <w:u w:val="double"/>
          <w:lang w:val="en-US" w:eastAsia="zh-CN"/>
        </w:rPr>
      </w:pPr>
      <w:r>
        <w:rPr>
          <w:rFonts w:ascii="宋体" w:eastAsia="宋体" w:hAnsi="宋体" w:cs="Times New Roman" w:hint="eastAsia"/>
          <w:b/>
          <w:bCs/>
          <w:szCs w:val="21"/>
          <w:u w:val="double"/>
          <w:lang w:val="en-US" w:eastAsia="zh-CN"/>
        </w:rPr>
        <w:t>9.利用检验科资源及远程会诊的方式进行诊治，提供优质服务，出具规范、及时的体检诊断报告，对HIV初筛阳性的</w:t>
      </w:r>
      <w:r>
        <w:rPr>
          <w:rFonts w:ascii="宋体" w:hAnsi="宋体" w:cs="Times New Roman" w:hint="eastAsia"/>
          <w:b/>
          <w:bCs/>
          <w:szCs w:val="21"/>
          <w:u w:val="double"/>
          <w:lang w:val="en-US" w:eastAsia="zh-CN"/>
        </w:rPr>
        <w:t>羁押人员</w:t>
      </w:r>
      <w:r>
        <w:rPr>
          <w:rFonts w:ascii="宋体" w:eastAsia="宋体" w:hAnsi="宋体" w:cs="Times New Roman" w:hint="eastAsia"/>
          <w:b/>
          <w:bCs/>
          <w:szCs w:val="21"/>
          <w:u w:val="double"/>
          <w:lang w:val="en-US" w:eastAsia="zh-CN"/>
        </w:rPr>
        <w:t>。及时送有资质的部门进行确诊并领取报告</w:t>
      </w:r>
      <w:r>
        <w:rPr>
          <w:rFonts w:ascii="宋体" w:hAnsi="宋体" w:cs="Times New Roman" w:hint="eastAsia"/>
          <w:b/>
          <w:bCs/>
          <w:szCs w:val="21"/>
          <w:u w:val="double"/>
          <w:lang w:val="en-US" w:eastAsia="zh-CN"/>
        </w:rPr>
        <w:t>，执行过程中所遇困难，采购人须提供相应的帮助</w:t>
      </w:r>
      <w:r>
        <w:rPr>
          <w:rFonts w:ascii="宋体" w:eastAsia="宋体" w:hAnsi="宋体" w:cs="Times New Roman" w:hint="eastAsia"/>
          <w:b/>
          <w:bCs/>
          <w:szCs w:val="21"/>
          <w:u w:val="double"/>
          <w:lang w:val="en-US" w:eastAsia="zh-CN"/>
        </w:rPr>
        <w:t>。</w:t>
      </w:r>
    </w:p>
    <w:p>
      <w:pPr>
        <w:spacing w:line="360" w:lineRule="auto"/>
        <w:ind w:firstLine="420" w:firstLineChars="200"/>
        <w:jc w:val="left"/>
        <w:rPr>
          <w:rFonts w:ascii="宋体" w:eastAsia="宋体" w:hAnsi="宋体" w:cs="Times New Roman" w:hint="eastAsia"/>
          <w:b/>
          <w:bCs/>
          <w:szCs w:val="21"/>
          <w:u w:val="double"/>
          <w:lang w:val="en-US" w:eastAsia="zh-CN"/>
        </w:rPr>
      </w:pPr>
      <w:r>
        <w:rPr>
          <w:rFonts w:ascii="宋体" w:eastAsia="宋体" w:hAnsi="宋体" w:cs="Times New Roman" w:hint="eastAsia"/>
          <w:b/>
          <w:bCs/>
          <w:szCs w:val="21"/>
          <w:u w:val="double"/>
          <w:lang w:val="en-US" w:eastAsia="zh-CN"/>
        </w:rPr>
        <w:t>10.负责对采购人提供现有的</w:t>
      </w:r>
      <w:r>
        <w:rPr>
          <w:rFonts w:ascii="宋体" w:hAnsi="宋体" w:cs="Times New Roman" w:hint="eastAsia"/>
          <w:b/>
          <w:bCs/>
          <w:szCs w:val="21"/>
          <w:u w:val="double"/>
          <w:lang w:val="en-US" w:eastAsia="zh-CN"/>
        </w:rPr>
        <w:t>医疗</w:t>
      </w:r>
      <w:r>
        <w:rPr>
          <w:rFonts w:ascii="宋体" w:eastAsia="宋体" w:hAnsi="宋体" w:cs="Times New Roman" w:hint="eastAsia"/>
          <w:b/>
          <w:bCs/>
          <w:szCs w:val="21"/>
          <w:u w:val="double"/>
          <w:lang w:val="en-US" w:eastAsia="zh-CN"/>
        </w:rPr>
        <w:t>设备进行维护、保养和更新，涉及费用的应另行结算。根据国有固定资产管理相关规定代为管理，达到报废标准的交由采购人按规定处理。</w:t>
      </w:r>
      <w:r>
        <w:rPr>
          <w:rFonts w:ascii="宋体" w:hAnsi="宋体" w:cs="Times New Roman" w:hint="eastAsia"/>
          <w:b/>
          <w:bCs/>
          <w:szCs w:val="21"/>
          <w:u w:val="double"/>
          <w:lang w:val="en-US" w:eastAsia="zh-CN"/>
        </w:rPr>
        <w:t>中标供应商</w:t>
      </w:r>
      <w:r>
        <w:rPr>
          <w:rFonts w:ascii="宋体" w:eastAsia="宋体" w:hAnsi="宋体" w:cs="Times New Roman" w:hint="eastAsia"/>
          <w:b/>
          <w:bCs/>
          <w:szCs w:val="21"/>
          <w:u w:val="double"/>
          <w:lang w:val="en-US" w:eastAsia="zh-CN"/>
        </w:rPr>
        <w:t>购置的设备在合作期结束时，由中标供应商带回。</w:t>
      </w:r>
    </w:p>
    <w:p>
      <w:pPr>
        <w:spacing w:line="360" w:lineRule="auto"/>
        <w:ind w:firstLine="420" w:firstLineChars="200"/>
        <w:jc w:val="left"/>
        <w:rPr>
          <w:rFonts w:ascii="宋体" w:eastAsia="宋体" w:hAnsi="宋体" w:cs="Times New Roman" w:hint="eastAsia"/>
          <w:szCs w:val="21"/>
          <w:lang w:val="en-US" w:eastAsia="zh-CN"/>
        </w:rPr>
      </w:pPr>
      <w:r>
        <w:rPr>
          <w:rFonts w:ascii="宋体" w:eastAsia="宋体" w:hAnsi="宋体" w:cs="Times New Roman" w:hint="eastAsia"/>
          <w:szCs w:val="21"/>
          <w:lang w:val="en-US" w:eastAsia="zh-CN"/>
        </w:rPr>
        <w:t>11.负责对门诊部</w:t>
      </w:r>
      <w:r>
        <w:rPr>
          <w:rFonts w:ascii="宋体" w:hAnsi="宋体" w:cs="Times New Roman" w:hint="eastAsia"/>
          <w:szCs w:val="21"/>
          <w:lang w:val="en-US" w:eastAsia="zh-CN"/>
        </w:rPr>
        <w:t>日常</w:t>
      </w:r>
      <w:r>
        <w:rPr>
          <w:rFonts w:ascii="宋体" w:eastAsia="宋体" w:hAnsi="宋体" w:cs="Times New Roman" w:hint="eastAsia"/>
          <w:szCs w:val="21"/>
          <w:lang w:val="en-US" w:eastAsia="zh-CN"/>
        </w:rPr>
        <w:t>运营管理</w:t>
      </w:r>
      <w:r>
        <w:rPr>
          <w:rFonts w:ascii="宋体" w:hAnsi="宋体" w:cs="Times New Roman" w:hint="eastAsia"/>
          <w:szCs w:val="21"/>
          <w:lang w:val="en-US" w:eastAsia="zh-CN"/>
        </w:rPr>
        <w:t>，</w:t>
      </w:r>
      <w:r>
        <w:rPr>
          <w:rFonts w:ascii="宋体" w:eastAsia="宋体" w:hAnsi="宋体" w:cs="Times New Roman" w:hint="eastAsia"/>
          <w:szCs w:val="21"/>
          <w:lang w:val="en-US" w:eastAsia="zh-CN"/>
        </w:rPr>
        <w:t>满足医院感染</w:t>
      </w:r>
      <w:r>
        <w:rPr>
          <w:rFonts w:ascii="宋体" w:hAnsi="宋体" w:cs="Times New Roman" w:hint="eastAsia"/>
          <w:szCs w:val="21"/>
          <w:lang w:val="en-US" w:eastAsia="zh-CN"/>
        </w:rPr>
        <w:t>科制定</w:t>
      </w:r>
      <w:r>
        <w:rPr>
          <w:rFonts w:ascii="宋体" w:eastAsia="宋体" w:hAnsi="宋体" w:cs="Times New Roman" w:hint="eastAsia"/>
          <w:szCs w:val="21"/>
          <w:lang w:val="en-US" w:eastAsia="zh-CN"/>
        </w:rPr>
        <w:t>的相关规定，建立合理区域划分，指导及</w:t>
      </w:r>
      <w:r>
        <w:rPr>
          <w:rFonts w:ascii="宋体" w:hAnsi="宋体" w:cs="Times New Roman" w:hint="eastAsia"/>
          <w:szCs w:val="21"/>
          <w:lang w:val="en-US" w:eastAsia="zh-CN"/>
        </w:rPr>
        <w:t>组织医务人员参加工作</w:t>
      </w:r>
      <w:r>
        <w:rPr>
          <w:rFonts w:ascii="宋体" w:eastAsia="宋体" w:hAnsi="宋体" w:cs="Times New Roman" w:hint="eastAsia"/>
          <w:szCs w:val="21"/>
          <w:lang w:val="en-US" w:eastAsia="zh-CN"/>
        </w:rPr>
        <w:t>培训</w:t>
      </w:r>
      <w:r>
        <w:rPr>
          <w:rFonts w:ascii="宋体" w:hAnsi="宋体" w:cs="Times New Roman" w:hint="eastAsia"/>
          <w:szCs w:val="21"/>
          <w:lang w:val="en-US" w:eastAsia="zh-CN"/>
        </w:rPr>
        <w:t>及</w:t>
      </w:r>
      <w:r>
        <w:rPr>
          <w:rFonts w:ascii="宋体" w:eastAsia="宋体" w:hAnsi="宋体" w:cs="Times New Roman" w:hint="eastAsia"/>
          <w:szCs w:val="21"/>
          <w:lang w:val="en-US" w:eastAsia="zh-CN"/>
        </w:rPr>
        <w:t>相关知识。</w:t>
      </w:r>
    </w:p>
    <w:p>
      <w:pPr>
        <w:spacing w:line="360" w:lineRule="auto"/>
        <w:ind w:firstLine="420" w:firstLineChars="200"/>
        <w:jc w:val="left"/>
        <w:rPr>
          <w:rFonts w:ascii="宋体" w:eastAsia="宋体" w:hAnsi="宋体" w:cs="Times New Roman" w:hint="eastAsia"/>
          <w:szCs w:val="21"/>
          <w:lang w:val="en-US" w:eastAsia="zh-CN"/>
        </w:rPr>
      </w:pPr>
      <w:r>
        <w:rPr>
          <w:rFonts w:ascii="宋体" w:eastAsia="宋体" w:hAnsi="宋体" w:cs="Times New Roman" w:hint="eastAsia"/>
          <w:szCs w:val="21"/>
          <w:lang w:val="en-US" w:eastAsia="zh-CN"/>
        </w:rPr>
        <w:t>12.负责门诊部运作所需的设备、药品、耗材和医疗物品的管理、维护。对需列入固定资产登记的设施设备按要求做好移交和登记造册。</w:t>
      </w:r>
    </w:p>
    <w:p>
      <w:pPr>
        <w:spacing w:line="360" w:lineRule="auto"/>
        <w:ind w:firstLine="420" w:firstLineChars="200"/>
        <w:jc w:val="left"/>
        <w:rPr>
          <w:rFonts w:ascii="宋体" w:eastAsia="宋体" w:hAnsi="宋体" w:cs="Times New Roman" w:hint="eastAsia"/>
          <w:szCs w:val="21"/>
          <w:lang w:val="en-US" w:eastAsia="zh-CN"/>
        </w:rPr>
      </w:pPr>
      <w:r>
        <w:rPr>
          <w:rFonts w:ascii="宋体" w:eastAsia="宋体" w:hAnsi="宋体" w:cs="Times New Roman" w:hint="eastAsia"/>
          <w:szCs w:val="21"/>
          <w:lang w:val="en-US" w:eastAsia="zh-CN"/>
        </w:rPr>
        <w:t>13.负责按有关要求建立健全医疗工作台账。负责建立入所健康检查记录、所内就医记录、所外就诊记录、药品使用记录及过期药品处理记录等医疗工作台账。</w:t>
      </w:r>
    </w:p>
    <w:p>
      <w:pPr>
        <w:spacing w:line="360" w:lineRule="auto"/>
        <w:ind w:firstLine="420" w:firstLineChars="200"/>
        <w:jc w:val="left"/>
        <w:rPr>
          <w:rFonts w:ascii="宋体" w:eastAsia="宋体" w:hAnsi="宋体" w:cs="Times New Roman" w:hint="eastAsia"/>
          <w:szCs w:val="21"/>
          <w:lang w:val="en-US" w:eastAsia="zh-CN"/>
        </w:rPr>
      </w:pPr>
      <w:r>
        <w:rPr>
          <w:rFonts w:ascii="宋体" w:eastAsia="宋体" w:hAnsi="宋体" w:cs="Times New Roman" w:hint="eastAsia"/>
          <w:szCs w:val="21"/>
          <w:lang w:val="en-US" w:eastAsia="zh-CN"/>
        </w:rPr>
        <w:t>14.负责对</w:t>
      </w:r>
      <w:r>
        <w:rPr>
          <w:rFonts w:ascii="宋体" w:hAnsi="宋体" w:cs="Times New Roman" w:hint="eastAsia"/>
          <w:szCs w:val="21"/>
          <w:lang w:val="en-US" w:eastAsia="zh-CN"/>
        </w:rPr>
        <w:t>监管场所</w:t>
      </w:r>
      <w:r>
        <w:rPr>
          <w:rFonts w:ascii="宋体" w:eastAsia="宋体" w:hAnsi="宋体" w:cs="Times New Roman" w:hint="eastAsia"/>
          <w:szCs w:val="21"/>
          <w:lang w:val="en-US" w:eastAsia="zh-CN"/>
        </w:rPr>
        <w:t>在押人员的病历资料进行管理。病历资料按档案管理的方法进行管理，如实记载病史、疾病检查、治疗等方面的情况，定期移交给</w:t>
      </w:r>
      <w:r>
        <w:rPr>
          <w:rFonts w:ascii="宋体" w:hAnsi="宋体" w:cs="Times New Roman" w:hint="eastAsia"/>
          <w:szCs w:val="21"/>
          <w:lang w:val="en-US" w:eastAsia="zh-CN"/>
        </w:rPr>
        <w:t>监管场所</w:t>
      </w:r>
      <w:r>
        <w:rPr>
          <w:rFonts w:ascii="宋体" w:eastAsia="宋体" w:hAnsi="宋体" w:cs="Times New Roman" w:hint="eastAsia"/>
          <w:szCs w:val="21"/>
          <w:lang w:val="en-US" w:eastAsia="zh-CN"/>
        </w:rPr>
        <w:t>档案室保管。移交后的档案由采购人负责管理和合理处置，病历的书写符合广东省医疗文书规定并结合监所医疗特色进行书写。</w:t>
      </w:r>
    </w:p>
    <w:p>
      <w:pPr>
        <w:spacing w:line="360" w:lineRule="auto"/>
        <w:ind w:firstLine="420" w:firstLineChars="200"/>
        <w:jc w:val="left"/>
        <w:rPr>
          <w:rFonts w:ascii="宋体" w:eastAsia="宋体" w:hAnsi="宋体" w:cs="Times New Roman" w:hint="eastAsia"/>
          <w:b/>
          <w:bCs/>
          <w:color w:val="auto"/>
          <w:szCs w:val="21"/>
          <w:u w:val="double"/>
          <w:lang w:val="en-US" w:eastAsia="zh-CN"/>
        </w:rPr>
      </w:pPr>
      <w:r>
        <w:rPr>
          <w:rFonts w:ascii="宋体" w:eastAsia="宋体" w:hAnsi="宋体" w:cs="Times New Roman" w:hint="eastAsia"/>
          <w:b/>
          <w:bCs/>
          <w:color w:val="auto"/>
          <w:szCs w:val="21"/>
          <w:u w:val="double"/>
          <w:lang w:val="en-US" w:eastAsia="zh-CN"/>
        </w:rPr>
        <w:t>15.负责建立被监管人员就诊“绿色通道”并保持畅通。</w:t>
      </w:r>
      <w:r>
        <w:rPr>
          <w:rFonts w:ascii="宋体" w:hAnsi="宋体" w:cs="Times New Roman" w:hint="eastAsia"/>
          <w:b/>
          <w:bCs/>
          <w:color w:val="auto"/>
          <w:szCs w:val="21"/>
          <w:u w:val="double"/>
          <w:lang w:val="en-US" w:eastAsia="zh-CN"/>
        </w:rPr>
        <w:t>监管场所</w:t>
      </w:r>
      <w:r>
        <w:rPr>
          <w:rFonts w:ascii="宋体" w:eastAsia="宋体" w:hAnsi="宋体" w:cs="Times New Roman" w:hint="eastAsia"/>
          <w:b/>
          <w:bCs/>
          <w:color w:val="auto"/>
          <w:szCs w:val="21"/>
          <w:u w:val="double"/>
          <w:lang w:val="en-US" w:eastAsia="zh-CN"/>
        </w:rPr>
        <w:t>被收监人员出所就医在采购人监管运送下，送中标供应商医院优先进行处置，中标供应商医院不能处理的由中标供应商协调转送具备相应能力的医院处置，采购人负责押解安全，出所就医费用</w:t>
      </w:r>
      <w:r>
        <w:rPr>
          <w:rFonts w:ascii="宋体" w:hAnsi="宋体" w:cs="Times New Roman" w:hint="eastAsia"/>
          <w:b/>
          <w:bCs/>
          <w:color w:val="auto"/>
          <w:szCs w:val="21"/>
          <w:u w:val="double"/>
          <w:lang w:val="en-US" w:eastAsia="zh-CN"/>
        </w:rPr>
        <w:t>另行结算</w:t>
      </w:r>
      <w:r>
        <w:rPr>
          <w:rFonts w:ascii="宋体" w:eastAsia="宋体" w:hAnsi="宋体" w:cs="Times New Roman" w:hint="eastAsia"/>
          <w:b/>
          <w:bCs/>
          <w:color w:val="auto"/>
          <w:szCs w:val="21"/>
          <w:u w:val="double"/>
          <w:lang w:val="en-US" w:eastAsia="zh-CN"/>
        </w:rPr>
        <w:t>。对于重大疾病支付费用明显超出预算，按照一事一议的方式，由双方协商沟通解决。</w:t>
      </w:r>
    </w:p>
    <w:p>
      <w:pPr>
        <w:spacing w:line="360" w:lineRule="auto"/>
        <w:ind w:firstLine="420" w:firstLineChars="200"/>
        <w:jc w:val="left"/>
        <w:rPr>
          <w:rFonts w:ascii="宋体" w:eastAsia="宋体" w:hAnsi="宋体" w:cs="Times New Roman" w:hint="eastAsia"/>
          <w:szCs w:val="21"/>
          <w:lang w:val="en-US" w:eastAsia="zh-CN"/>
        </w:rPr>
      </w:pPr>
      <w:r>
        <w:rPr>
          <w:rFonts w:ascii="宋体" w:eastAsia="宋体" w:hAnsi="宋体" w:cs="Times New Roman" w:hint="eastAsia"/>
          <w:szCs w:val="21"/>
          <w:lang w:val="en-US" w:eastAsia="zh-CN"/>
        </w:rPr>
        <w:t>16.根据采购人医疗信息采集的要求，中标供应商应及时采集录入医疗工作相关信息，并严守工作秘密。</w:t>
      </w:r>
    </w:p>
    <w:p>
      <w:pPr>
        <w:spacing w:line="360" w:lineRule="auto"/>
        <w:ind w:firstLine="420" w:firstLineChars="200"/>
        <w:jc w:val="left"/>
        <w:rPr>
          <w:rFonts w:ascii="宋体" w:eastAsia="宋体" w:hAnsi="宋体" w:cs="Times New Roman" w:hint="eastAsia"/>
          <w:szCs w:val="21"/>
          <w:lang w:val="en-US" w:eastAsia="zh-CN"/>
        </w:rPr>
      </w:pPr>
      <w:r>
        <w:rPr>
          <w:rFonts w:ascii="宋体" w:eastAsia="宋体" w:hAnsi="宋体" w:cs="Times New Roman" w:hint="eastAsia"/>
          <w:szCs w:val="21"/>
          <w:lang w:val="en-US" w:eastAsia="zh-CN"/>
        </w:rPr>
        <w:t>17.负责指导和开展监所防疫、患传染病在押人员的医疗卫生管理和治疗。</w:t>
      </w:r>
    </w:p>
    <w:p>
      <w:pPr>
        <w:spacing w:line="360" w:lineRule="auto"/>
        <w:ind w:firstLine="420" w:firstLineChars="200"/>
        <w:jc w:val="left"/>
        <w:rPr>
          <w:rFonts w:ascii="宋体" w:eastAsia="宋体" w:hAnsi="宋体" w:cs="Times New Roman" w:hint="eastAsia"/>
          <w:szCs w:val="21"/>
          <w:lang w:val="en-US" w:eastAsia="zh-CN"/>
        </w:rPr>
      </w:pPr>
      <w:r>
        <w:rPr>
          <w:rFonts w:ascii="宋体" w:eastAsia="宋体" w:hAnsi="宋体" w:cs="Times New Roman" w:hint="eastAsia"/>
          <w:szCs w:val="21"/>
          <w:lang w:val="en-US" w:eastAsia="zh-CN"/>
        </w:rPr>
        <w:t>18.负责危重病在拘人员的急救工作</w:t>
      </w:r>
      <w:r>
        <w:rPr>
          <w:rFonts w:ascii="宋体" w:hAnsi="宋体" w:cs="Times New Roman" w:hint="eastAsia"/>
          <w:szCs w:val="21"/>
          <w:lang w:val="en-US" w:eastAsia="zh-CN"/>
        </w:rPr>
        <w:t>。</w:t>
      </w:r>
    </w:p>
    <w:p>
      <w:pPr>
        <w:spacing w:line="360" w:lineRule="auto"/>
        <w:ind w:firstLine="420" w:firstLineChars="200"/>
        <w:jc w:val="left"/>
        <w:rPr>
          <w:rFonts w:ascii="宋体" w:eastAsia="宋体" w:hAnsi="宋体" w:cs="Times New Roman" w:hint="eastAsia"/>
          <w:szCs w:val="21"/>
          <w:lang w:val="en-US" w:eastAsia="zh-CN"/>
        </w:rPr>
      </w:pPr>
      <w:r>
        <w:rPr>
          <w:rFonts w:ascii="宋体" w:eastAsia="宋体" w:hAnsi="宋体" w:cs="Times New Roman" w:hint="eastAsia"/>
          <w:szCs w:val="21"/>
          <w:lang w:val="en-US" w:eastAsia="zh-CN"/>
        </w:rPr>
        <w:t>19.负责协调卫键部门定期对专项工作开展联合督导、调研等工作。</w:t>
      </w:r>
    </w:p>
    <w:p>
      <w:pPr>
        <w:spacing w:line="360" w:lineRule="auto"/>
        <w:ind w:firstLine="420" w:firstLineChars="200"/>
        <w:jc w:val="left"/>
        <w:rPr>
          <w:rFonts w:ascii="宋体" w:eastAsia="宋体" w:hAnsi="宋体" w:cs="Times New Roman" w:hint="eastAsia"/>
          <w:b/>
          <w:bCs/>
          <w:szCs w:val="21"/>
          <w:u w:val="double"/>
          <w:lang w:val="en-US" w:eastAsia="zh-CN"/>
        </w:rPr>
      </w:pPr>
      <w:r>
        <w:rPr>
          <w:rFonts w:ascii="宋体" w:eastAsia="宋体" w:hAnsi="宋体" w:cs="Times New Roman" w:hint="eastAsia"/>
          <w:b/>
          <w:bCs/>
          <w:szCs w:val="21"/>
          <w:u w:val="double"/>
          <w:lang w:val="en-US" w:eastAsia="zh-CN"/>
        </w:rPr>
        <w:t>2</w:t>
      </w:r>
      <w:r>
        <w:rPr>
          <w:rFonts w:ascii="宋体" w:hAnsi="宋体" w:cs="Times New Roman" w:hint="eastAsia"/>
          <w:b/>
          <w:bCs/>
          <w:szCs w:val="21"/>
          <w:u w:val="double"/>
          <w:lang w:val="en-US" w:eastAsia="zh-CN"/>
        </w:rPr>
        <w:t>0</w:t>
      </w:r>
      <w:r>
        <w:rPr>
          <w:rFonts w:ascii="宋体" w:eastAsia="宋体" w:hAnsi="宋体" w:cs="Times New Roman" w:hint="eastAsia"/>
          <w:b/>
          <w:bCs/>
          <w:szCs w:val="21"/>
          <w:u w:val="double"/>
          <w:lang w:val="en-US" w:eastAsia="zh-CN"/>
        </w:rPr>
        <w:t>.根据监管支队对监所医疗相关指引和要求，完成相关迎检数据和台账等。</w:t>
      </w:r>
    </w:p>
    <w:p>
      <w:pPr>
        <w:spacing w:line="360" w:lineRule="auto"/>
        <w:ind w:firstLine="420" w:firstLineChars="200"/>
        <w:jc w:val="left"/>
        <w:rPr>
          <w:rFonts w:ascii="宋体" w:eastAsia="宋体" w:hAnsi="宋体" w:cs="Times New Roman" w:hint="eastAsia"/>
          <w:b/>
          <w:bCs/>
          <w:szCs w:val="21"/>
          <w:u w:val="double"/>
          <w:lang w:val="en-US" w:eastAsia="zh-CN"/>
        </w:rPr>
      </w:pPr>
      <w:r>
        <w:rPr>
          <w:rFonts w:ascii="宋体" w:eastAsia="宋体" w:hAnsi="宋体" w:cs="Times New Roman" w:hint="eastAsia"/>
          <w:b/>
          <w:bCs/>
          <w:szCs w:val="21"/>
          <w:u w:val="double"/>
          <w:lang w:val="en-US" w:eastAsia="zh-CN"/>
        </w:rPr>
        <w:t>2</w:t>
      </w:r>
      <w:r>
        <w:rPr>
          <w:rFonts w:ascii="宋体" w:hAnsi="宋体" w:cs="Times New Roman" w:hint="eastAsia"/>
          <w:b/>
          <w:bCs/>
          <w:szCs w:val="21"/>
          <w:u w:val="double"/>
          <w:lang w:val="en-US" w:eastAsia="zh-CN"/>
        </w:rPr>
        <w:t>1</w:t>
      </w:r>
      <w:r>
        <w:rPr>
          <w:rFonts w:ascii="宋体" w:eastAsia="宋体" w:hAnsi="宋体" w:cs="Times New Roman" w:hint="eastAsia"/>
          <w:b/>
          <w:bCs/>
          <w:szCs w:val="21"/>
          <w:u w:val="double"/>
          <w:lang w:val="en-US" w:eastAsia="zh-CN"/>
        </w:rPr>
        <w:t>.派驻医生及护士食宿由中标供应商负责，拘留所提供值班备勤室。</w:t>
      </w:r>
    </w:p>
    <w:p>
      <w:pPr>
        <w:numPr>
          <w:ilvl w:val="0"/>
          <w:numId w:val="0"/>
        </w:numPr>
        <w:spacing w:line="360" w:lineRule="auto"/>
        <w:ind w:firstLine="420" w:firstLineChars="200"/>
        <w:rPr>
          <w:rFonts w:ascii="宋体" w:hAnsi="宋体" w:hint="eastAsia"/>
          <w:b/>
          <w:bCs/>
          <w:szCs w:val="24"/>
          <w:u w:val="double"/>
          <w:lang w:val="en-US" w:eastAsia="zh-CN"/>
        </w:rPr>
      </w:pPr>
      <w:r>
        <w:rPr>
          <w:rFonts w:ascii="宋体" w:eastAsia="宋体" w:hAnsi="宋体" w:cs="Times New Roman" w:hint="eastAsia"/>
          <w:b/>
          <w:bCs/>
          <w:szCs w:val="21"/>
          <w:u w:val="double"/>
          <w:lang w:val="en-US" w:eastAsia="zh-CN"/>
        </w:rPr>
        <w:t>2</w:t>
      </w:r>
      <w:r>
        <w:rPr>
          <w:rFonts w:ascii="宋体" w:hAnsi="宋体" w:cs="Times New Roman" w:hint="eastAsia"/>
          <w:b/>
          <w:bCs/>
          <w:szCs w:val="21"/>
          <w:u w:val="double"/>
          <w:lang w:val="en-US" w:eastAsia="zh-CN"/>
        </w:rPr>
        <w:t>2</w:t>
      </w:r>
      <w:r>
        <w:rPr>
          <w:rFonts w:ascii="宋体" w:eastAsia="宋体" w:hAnsi="宋体" w:cs="Times New Roman" w:hint="eastAsia"/>
          <w:b/>
          <w:bCs/>
          <w:szCs w:val="21"/>
          <w:u w:val="double"/>
          <w:lang w:val="en-US" w:eastAsia="zh-CN"/>
        </w:rPr>
        <w:t>.门诊所需医疗和办公室耗材及生活物资日常物品需由</w:t>
      </w:r>
      <w:r>
        <w:rPr>
          <w:rFonts w:ascii="宋体" w:hAnsi="宋体" w:cs="Times New Roman" w:hint="eastAsia"/>
          <w:b/>
          <w:bCs/>
          <w:szCs w:val="21"/>
          <w:u w:val="double"/>
          <w:lang w:val="en-US" w:eastAsia="zh-CN"/>
        </w:rPr>
        <w:t>中标供应商</w:t>
      </w:r>
      <w:r>
        <w:rPr>
          <w:rFonts w:ascii="宋体" w:eastAsia="宋体" w:hAnsi="宋体" w:cs="Times New Roman" w:hint="eastAsia"/>
          <w:b/>
          <w:bCs/>
          <w:szCs w:val="21"/>
          <w:u w:val="double"/>
          <w:lang w:val="en-US" w:eastAsia="zh-CN"/>
        </w:rPr>
        <w:t>自行采购。</w:t>
      </w:r>
    </w:p>
    <w:p>
      <w:pPr>
        <w:spacing w:line="360" w:lineRule="auto"/>
        <w:ind w:firstLine="420" w:firstLineChars="200"/>
        <w:jc w:val="left"/>
        <w:rPr>
          <w:rFonts w:ascii="宋体" w:eastAsia="宋体" w:hAnsi="宋体" w:cs="Times New Roman" w:hint="eastAsia"/>
          <w:b/>
          <w:bCs/>
          <w:szCs w:val="21"/>
          <w:lang w:val="en-US" w:eastAsia="zh-CN"/>
        </w:rPr>
      </w:pPr>
      <w:r>
        <w:rPr>
          <w:rFonts w:ascii="宋体" w:eastAsia="宋体" w:hAnsi="宋体" w:cs="Times New Roman" w:hint="eastAsia"/>
          <w:szCs w:val="21"/>
          <w:lang w:val="en-US" w:eastAsia="zh-CN"/>
        </w:rPr>
        <w:t xml:space="preserve">  </w:t>
      </w:r>
    </w:p>
    <w:p>
      <w:pPr>
        <w:keepNext/>
        <w:keepLines/>
        <w:adjustRightInd w:val="0"/>
        <w:spacing w:before="156" w:beforeLines="50" w:after="156" w:afterLines="50"/>
        <w:jc w:val="center"/>
        <w:textAlignment w:val="baseline"/>
        <w:outlineLvl w:val="1"/>
        <w:rPr>
          <w:rFonts w:ascii="宋体" w:hAnsi="宋体"/>
          <w:b/>
          <w:bCs/>
          <w:kern w:val="0"/>
          <w:sz w:val="28"/>
          <w:szCs w:val="28"/>
        </w:rPr>
      </w:pPr>
      <w:r>
        <w:rPr>
          <w:rFonts w:ascii="宋体" w:hAnsi="宋体" w:hint="eastAsia"/>
          <w:b/>
          <w:bCs/>
          <w:kern w:val="0"/>
          <w:sz w:val="28"/>
          <w:szCs w:val="28"/>
        </w:rPr>
        <w:t>五、项目商务要求</w:t>
      </w:r>
    </w:p>
    <w:p>
      <w:pPr>
        <w:spacing w:line="360" w:lineRule="auto"/>
        <w:rPr>
          <w:rFonts w:ascii="宋体" w:eastAsia="宋体" w:hAnsi="宋体"/>
          <w:b/>
          <w:highlight w:val="yellow"/>
        </w:rPr>
      </w:pPr>
      <w:r>
        <w:rPr>
          <w:rFonts w:ascii="宋体" w:eastAsia="宋体" w:hAnsi="宋体" w:hint="eastAsia"/>
          <w:highlight w:val="yellow"/>
        </w:rPr>
        <w:t>★</w:t>
      </w:r>
      <w:r>
        <w:rPr>
          <w:rFonts w:ascii="宋体" w:eastAsia="宋体" w:hAnsi="宋体" w:hint="eastAsia"/>
          <w:b/>
          <w:highlight w:val="yellow"/>
        </w:rPr>
        <w:t>（一）服务期限：</w:t>
      </w:r>
    </w:p>
    <w:p>
      <w:pPr>
        <w:spacing w:line="360" w:lineRule="auto"/>
        <w:ind w:firstLine="420" w:firstLineChars="200"/>
        <w:rPr>
          <w:rFonts w:ascii="宋体" w:eastAsia="宋体" w:hAnsi="宋体"/>
          <w:b/>
          <w:highlight w:val="yellow"/>
        </w:rPr>
      </w:pPr>
      <w:r>
        <w:rPr>
          <w:rFonts w:ascii="宋体" w:eastAsia="宋体" w:hAnsi="宋体" w:hint="eastAsia"/>
          <w:b/>
          <w:highlight w:val="yellow"/>
        </w:rPr>
        <w:t>本项目合同履行期限为一年。本项目为长期服务项目,合同履行期限满后采购人可根据中标人履约情况确定合同是否续签。合同一年一签,第一年为本次招标的中标合同履行期限,最多可续签两次，项目总合同履行期限最长不超过36个月。</w:t>
      </w:r>
    </w:p>
    <w:p>
      <w:pPr>
        <w:spacing w:line="360" w:lineRule="auto"/>
        <w:rPr>
          <w:rFonts w:ascii="宋体" w:eastAsia="宋体" w:hAnsi="宋体"/>
          <w:b/>
        </w:rPr>
      </w:pPr>
      <w:r>
        <w:rPr>
          <w:rFonts w:ascii="宋体" w:eastAsia="宋体" w:hAnsi="宋体" w:hint="eastAsia"/>
          <w:b/>
        </w:rPr>
        <w:t>（二）服务地点：</w:t>
      </w:r>
    </w:p>
    <w:p>
      <w:pPr>
        <w:spacing w:line="360" w:lineRule="auto"/>
        <w:ind w:firstLine="424" w:firstLineChars="202"/>
        <w:rPr>
          <w:rFonts w:ascii="宋体" w:eastAsia="宋体" w:hAnsi="宋体"/>
          <w:b/>
        </w:rPr>
      </w:pPr>
      <w:r>
        <w:rPr>
          <w:rFonts w:ascii="宋体" w:hAnsi="宋体" w:hint="eastAsia"/>
          <w:szCs w:val="21"/>
        </w:rPr>
        <w:t>深圳市。</w:t>
      </w:r>
    </w:p>
    <w:p>
      <w:pPr>
        <w:spacing w:line="360" w:lineRule="auto"/>
        <w:rPr>
          <w:rFonts w:ascii="宋体" w:eastAsia="宋体" w:hAnsi="宋体"/>
          <w:b/>
        </w:rPr>
      </w:pPr>
      <w:r>
        <w:rPr>
          <w:rFonts w:ascii="宋体" w:eastAsia="宋体" w:hAnsi="宋体" w:hint="eastAsia"/>
          <w:b/>
        </w:rPr>
        <w:t>（三）报价要求：</w:t>
      </w:r>
    </w:p>
    <w:p>
      <w:pPr>
        <w:spacing w:line="360" w:lineRule="auto"/>
        <w:ind w:firstLine="420" w:firstLineChars="200"/>
        <w:jc w:val="left"/>
        <w:rPr>
          <w:rFonts w:ascii="宋体" w:hAnsi="宋体"/>
          <w:szCs w:val="21"/>
        </w:rPr>
      </w:pPr>
      <w:r>
        <w:rPr>
          <w:rFonts w:ascii="宋体" w:hAnsi="宋体" w:hint="eastAsia"/>
          <w:szCs w:val="21"/>
        </w:rPr>
        <w:t>投标人报价应按人民币报价，包括但不限于管理费用、人员费用、税费、设施硬件配置费用等与完成本项目服务工作有关的全部费用。</w:t>
      </w:r>
    </w:p>
    <w:p>
      <w:pPr>
        <w:spacing w:line="360" w:lineRule="auto"/>
        <w:rPr>
          <w:rFonts w:ascii="宋体" w:eastAsia="宋体" w:hAnsi="宋体"/>
          <w:b/>
        </w:rPr>
      </w:pPr>
      <w:r>
        <w:rPr>
          <w:rFonts w:ascii="宋体" w:eastAsia="宋体" w:hAnsi="宋体" w:hint="eastAsia"/>
          <w:b/>
        </w:rPr>
        <w:t>（四）付款方式：</w:t>
      </w:r>
    </w:p>
    <w:p>
      <w:pPr>
        <w:numPr>
          <w:ilvl w:val="0"/>
          <w:numId w:val="0"/>
        </w:numPr>
        <w:spacing w:line="360" w:lineRule="auto"/>
        <w:ind w:firstLine="420" w:firstLineChars="200"/>
        <w:rPr>
          <w:rFonts w:ascii="宋体" w:hAnsi="宋体" w:hint="default"/>
          <w:b/>
          <w:bCs/>
          <w:szCs w:val="24"/>
          <w:u w:val="double"/>
          <w:lang w:val="en-US" w:eastAsia="zh-CN"/>
        </w:rPr>
      </w:pPr>
      <w:r>
        <w:rPr>
          <w:rFonts w:ascii="宋体" w:eastAsia="宋体" w:hAnsi="宋体" w:cs="Times New Roman" w:hint="eastAsia"/>
          <w:b/>
          <w:bCs/>
          <w:szCs w:val="21"/>
          <w:u w:val="double"/>
          <w:lang w:val="en-US" w:eastAsia="zh-CN"/>
        </w:rPr>
        <w:t>1、</w:t>
      </w:r>
      <w:r>
        <w:rPr>
          <w:rFonts w:ascii="宋体" w:eastAsia="宋体" w:hAnsi="宋体" w:cs="Times New Roman" w:hint="eastAsia"/>
          <w:b/>
          <w:bCs/>
          <w:szCs w:val="21"/>
          <w:u w:val="double"/>
        </w:rPr>
        <w:t>服务期开始之后服务管理费按月结算，服务费按总额平均分摊至每月支付。中标人在每月10日（遇节假日顺延至第一个工作日）前，开具上个月的服务费发票及提交</w:t>
      </w:r>
      <w:r>
        <w:rPr>
          <w:rFonts w:ascii="宋体" w:eastAsia="宋体" w:hAnsi="宋体" w:cs="Times New Roman" w:hint="eastAsia"/>
          <w:b/>
          <w:bCs/>
          <w:szCs w:val="21"/>
          <w:u w:val="double"/>
          <w:lang w:val="en-US" w:eastAsia="zh-CN"/>
        </w:rPr>
        <w:t>监所医疗卫生服务考核</w:t>
      </w:r>
      <w:r>
        <w:rPr>
          <w:rFonts w:ascii="宋体" w:eastAsia="宋体" w:hAnsi="宋体" w:cs="Times New Roman" w:hint="eastAsia"/>
          <w:b/>
          <w:bCs/>
          <w:szCs w:val="21"/>
          <w:u w:val="double"/>
        </w:rPr>
        <w:t>表等相关资料送达采购人，采购人审核无误后在</w:t>
      </w:r>
      <w:r>
        <w:rPr>
          <w:rFonts w:ascii="宋体" w:eastAsia="宋体" w:hAnsi="宋体" w:cs="Times New Roman" w:hint="eastAsia"/>
          <w:b/>
          <w:bCs/>
          <w:szCs w:val="21"/>
          <w:u w:val="double"/>
          <w:lang w:val="en-US" w:eastAsia="zh-CN"/>
        </w:rPr>
        <w:t>10</w:t>
      </w:r>
      <w:r>
        <w:rPr>
          <w:rFonts w:ascii="宋体" w:eastAsia="宋体" w:hAnsi="宋体" w:cs="Times New Roman" w:hint="eastAsia"/>
          <w:b/>
          <w:bCs/>
          <w:szCs w:val="21"/>
          <w:u w:val="double"/>
        </w:rPr>
        <w:t>个工作日内</w:t>
      </w:r>
      <w:r>
        <w:rPr>
          <w:rFonts w:ascii="宋体" w:eastAsia="宋体" w:hAnsi="宋体" w:cs="Times New Roman" w:hint="eastAsia"/>
          <w:b/>
          <w:bCs/>
          <w:szCs w:val="21"/>
          <w:u w:val="double"/>
          <w:lang w:val="en-US" w:eastAsia="zh-CN"/>
        </w:rPr>
        <w:t>向宝安公安分局</w:t>
      </w:r>
      <w:r>
        <w:rPr>
          <w:rFonts w:ascii="宋体" w:hAnsi="宋体" w:cs="Times New Roman" w:hint="eastAsia"/>
          <w:b/>
          <w:bCs/>
          <w:szCs w:val="21"/>
          <w:u w:val="double"/>
          <w:lang w:val="en-US" w:eastAsia="zh-CN"/>
        </w:rPr>
        <w:t>财务</w:t>
      </w:r>
      <w:r>
        <w:rPr>
          <w:rFonts w:ascii="宋体" w:eastAsia="宋体" w:hAnsi="宋体" w:cs="Times New Roman" w:hint="eastAsia"/>
          <w:b/>
          <w:bCs/>
          <w:szCs w:val="21"/>
          <w:u w:val="double"/>
          <w:lang w:val="en-US" w:eastAsia="zh-CN"/>
        </w:rPr>
        <w:t>部门递交报账</w:t>
      </w:r>
      <w:r>
        <w:rPr>
          <w:rFonts w:ascii="宋体" w:eastAsia="宋体" w:hAnsi="宋体" w:cs="Times New Roman" w:hint="eastAsia"/>
          <w:b/>
          <w:bCs/>
          <w:szCs w:val="21"/>
          <w:u w:val="double"/>
        </w:rPr>
        <w:t>手续</w:t>
      </w:r>
      <w:r>
        <w:rPr>
          <w:rFonts w:ascii="宋体" w:eastAsia="宋体" w:hAnsi="宋体" w:cs="Times New Roman" w:hint="eastAsia"/>
          <w:b/>
          <w:bCs/>
          <w:szCs w:val="21"/>
          <w:u w:val="double"/>
          <w:lang w:eastAsia="zh-CN"/>
        </w:rPr>
        <w:t>，</w:t>
      </w:r>
      <w:r>
        <w:rPr>
          <w:rFonts w:ascii="宋体" w:eastAsia="宋体" w:hAnsi="宋体" w:cs="Times New Roman" w:hint="eastAsia"/>
          <w:b/>
          <w:bCs/>
          <w:szCs w:val="21"/>
          <w:u w:val="double"/>
          <w:lang w:val="en-US" w:eastAsia="zh-CN"/>
        </w:rPr>
        <w:t>由分局</w:t>
      </w:r>
      <w:r>
        <w:rPr>
          <w:rFonts w:ascii="宋体" w:hAnsi="宋体" w:cs="Times New Roman" w:hint="eastAsia"/>
          <w:b/>
          <w:bCs/>
          <w:szCs w:val="21"/>
          <w:u w:val="double"/>
          <w:lang w:val="en-US" w:eastAsia="zh-CN"/>
        </w:rPr>
        <w:t>财务</w:t>
      </w:r>
      <w:r>
        <w:rPr>
          <w:rFonts w:ascii="宋体" w:eastAsia="宋体" w:hAnsi="宋体" w:cs="Times New Roman" w:hint="eastAsia"/>
          <w:b/>
          <w:bCs/>
          <w:szCs w:val="21"/>
          <w:u w:val="double"/>
          <w:lang w:val="en-US" w:eastAsia="zh-CN"/>
        </w:rPr>
        <w:t>部门审核后结算支付</w:t>
      </w:r>
      <w:r>
        <w:rPr>
          <w:rFonts w:ascii="宋体" w:eastAsia="宋体" w:hAnsi="宋体" w:cs="Times New Roman" w:hint="eastAsia"/>
          <w:b/>
          <w:bCs/>
          <w:szCs w:val="21"/>
          <w:u w:val="double"/>
        </w:rPr>
        <w:t>。</w:t>
      </w:r>
    </w:p>
    <w:p>
      <w:pPr>
        <w:spacing w:line="360" w:lineRule="auto"/>
        <w:ind w:firstLine="420" w:firstLineChars="200"/>
        <w:jc w:val="left"/>
        <w:rPr>
          <w:rFonts w:ascii="宋体" w:eastAsia="宋体" w:hAnsi="宋体" w:cs="Times New Roman" w:hint="eastAsia"/>
          <w:szCs w:val="21"/>
        </w:rPr>
      </w:pPr>
      <w:r>
        <w:rPr>
          <w:rFonts w:ascii="宋体" w:eastAsia="宋体" w:hAnsi="宋体" w:cs="Times New Roman" w:hint="eastAsia"/>
          <w:szCs w:val="21"/>
          <w:lang w:eastAsia="zh-CN"/>
        </w:rPr>
        <w:t>2、</w:t>
      </w:r>
      <w:r>
        <w:rPr>
          <w:rFonts w:ascii="宋体" w:eastAsia="宋体" w:hAnsi="宋体" w:cs="Times New Roman" w:hint="eastAsia"/>
          <w:szCs w:val="21"/>
        </w:rPr>
        <w:t xml:space="preserve">若中标人延迟提交请款材料或提交的请款材料不符合合同约定的，采购人有权延期付款而不承担违约责任，且中标人不得以此为由拒绝履行合同义务。 </w:t>
      </w:r>
    </w:p>
    <w:p>
      <w:pPr>
        <w:spacing w:line="360" w:lineRule="auto"/>
        <w:ind w:firstLine="420" w:firstLineChars="200"/>
        <w:jc w:val="left"/>
        <w:rPr>
          <w:rFonts w:ascii="宋体" w:eastAsia="宋体" w:hAnsi="宋体" w:cs="Times New Roman" w:hint="eastAsia"/>
          <w:szCs w:val="21"/>
        </w:rPr>
      </w:pPr>
      <w:r>
        <w:rPr>
          <w:rFonts w:ascii="宋体" w:eastAsia="宋体" w:hAnsi="宋体" w:cs="Times New Roman" w:hint="eastAsia"/>
          <w:szCs w:val="21"/>
          <w:lang w:eastAsia="zh-CN"/>
        </w:rPr>
        <w:t>3、</w:t>
      </w:r>
      <w:r>
        <w:rPr>
          <w:rFonts w:ascii="宋体" w:eastAsia="宋体" w:hAnsi="宋体" w:cs="Times New Roman" w:hint="eastAsia"/>
          <w:szCs w:val="21"/>
        </w:rPr>
        <w:t>因采购人使用的是财政资金，规定时间内提出支付申请手续后即视为采购人已经按期支付。如因</w:t>
      </w:r>
      <w:r>
        <w:rPr>
          <w:rFonts w:ascii="宋体" w:eastAsia="宋体" w:hAnsi="宋体" w:cs="Times New Roman" w:hint="eastAsia"/>
          <w:szCs w:val="21"/>
          <w:lang w:val="en-US" w:eastAsia="zh-CN"/>
        </w:rPr>
        <w:t>政策影响、审批延迟及拨款未能及时到位</w:t>
      </w:r>
      <w:r>
        <w:rPr>
          <w:rFonts w:ascii="宋体" w:eastAsia="宋体" w:hAnsi="宋体" w:cs="Times New Roman" w:hint="eastAsia"/>
          <w:szCs w:val="21"/>
        </w:rPr>
        <w:t>导致的支付延期，支付期限自动顺延，采购人不承担逾期付款的违约责任</w:t>
      </w:r>
      <w:r>
        <w:rPr>
          <w:rFonts w:ascii="宋体" w:eastAsia="宋体" w:hAnsi="宋体" w:cs="Times New Roman" w:hint="eastAsia"/>
          <w:szCs w:val="21"/>
          <w:lang w:val="en-US" w:eastAsia="zh-CN"/>
        </w:rPr>
        <w:t>和利息损失等</w:t>
      </w:r>
      <w:r>
        <w:rPr>
          <w:rFonts w:ascii="宋体" w:eastAsia="宋体" w:hAnsi="宋体" w:cs="Times New Roman" w:hint="eastAsia"/>
          <w:szCs w:val="21"/>
        </w:rPr>
        <w:t>，且中标人不得以此为由迟延履行或拒绝履行相应义务。</w:t>
      </w:r>
    </w:p>
    <w:p>
      <w:pPr>
        <w:spacing w:line="360" w:lineRule="auto"/>
        <w:ind w:firstLine="420" w:firstLineChars="200"/>
        <w:rPr>
          <w:rFonts w:ascii="宋体" w:eastAsia="宋体" w:hAnsi="宋体" w:cs="Times New Roman" w:hint="eastAsia"/>
          <w:kern w:val="2"/>
          <w:sz w:val="21"/>
          <w:szCs w:val="21"/>
          <w:lang w:eastAsia="zh-CN"/>
        </w:rPr>
      </w:pPr>
      <w:r>
        <w:rPr>
          <w:rFonts w:ascii="宋体" w:eastAsia="宋体" w:hAnsi="宋体" w:cs="Times New Roman" w:hint="eastAsia"/>
          <w:kern w:val="2"/>
          <w:sz w:val="21"/>
          <w:szCs w:val="21"/>
          <w:lang w:eastAsia="zh-CN"/>
        </w:rPr>
        <w:t>4、若中标人在服务中有扣罚的，经双方管理人员签名确认作为扣罚依据，开发票金额为扣除服务费后的金额，采购人根据</w:t>
      </w:r>
      <w:r>
        <w:rPr>
          <w:rFonts w:ascii="宋体" w:eastAsia="宋体" w:hAnsi="宋体" w:cs="Times New Roman" w:hint="eastAsia"/>
          <w:kern w:val="2"/>
          <w:sz w:val="21"/>
          <w:szCs w:val="21"/>
          <w:lang w:val="en-US" w:eastAsia="zh-CN"/>
        </w:rPr>
        <w:t>中标人</w:t>
      </w:r>
      <w:r>
        <w:rPr>
          <w:rFonts w:ascii="宋体" w:eastAsia="宋体" w:hAnsi="宋体" w:cs="Times New Roman" w:hint="eastAsia"/>
          <w:kern w:val="2"/>
          <w:sz w:val="21"/>
          <w:szCs w:val="21"/>
          <w:lang w:eastAsia="zh-CN"/>
        </w:rPr>
        <w:t>开具的发票支付当期服务费。经采购人的业务管理部门集体讨论研究后确认具体得分情况，如中标人有异议的，可自收到扣罚情况之日起10日内通过书面函件的形式与采购人进行沟通，中标人无反馈或逾期反馈的，视为认可相关扣罚情况，中标人的管理人员应根据采购人的要求签名确认，未按要求签名确认的，相关文件仍可作为扣罚依据。</w:t>
      </w:r>
    </w:p>
    <w:p>
      <w:pPr>
        <w:spacing w:line="360" w:lineRule="auto"/>
        <w:rPr>
          <w:rFonts w:ascii="宋体" w:eastAsia="宋体" w:hAnsi="宋体"/>
          <w:b/>
        </w:rPr>
      </w:pPr>
      <w:r>
        <w:rPr>
          <w:rFonts w:ascii="宋体" w:eastAsia="宋体" w:hAnsi="宋体" w:hint="eastAsia"/>
          <w:b/>
        </w:rPr>
        <w:t>（五）验收要求：</w:t>
      </w:r>
    </w:p>
    <w:p>
      <w:pPr>
        <w:spacing w:line="360" w:lineRule="auto"/>
        <w:ind w:firstLine="424" w:firstLineChars="202"/>
        <w:rPr>
          <w:rFonts w:ascii="宋体" w:hAnsi="宋体" w:cs="宋体"/>
          <w:kern w:val="0"/>
          <w:szCs w:val="21"/>
        </w:rPr>
      </w:pPr>
      <w:r>
        <w:rPr>
          <w:rFonts w:ascii="宋体" w:hAnsi="宋体" w:cs="宋体" w:hint="eastAsia"/>
          <w:kern w:val="0"/>
          <w:szCs w:val="21"/>
        </w:rPr>
        <w:t>（1）服务期满，中标人按招标文件、投标文件及合同要求完成项目服务工作，并按要求完成验收文档准备后，中标人向采购人提出项目验收申请，验收工作由采购人组织有关人员进行。</w:t>
      </w:r>
    </w:p>
    <w:p>
      <w:pPr>
        <w:spacing w:line="360" w:lineRule="auto"/>
        <w:ind w:firstLine="424" w:firstLineChars="202"/>
        <w:rPr>
          <w:rFonts w:ascii="宋体" w:hAnsi="宋体" w:cs="宋体"/>
          <w:kern w:val="0"/>
          <w:szCs w:val="21"/>
        </w:rPr>
      </w:pPr>
      <w:r>
        <w:rPr>
          <w:rFonts w:ascii="宋体" w:hAnsi="宋体" w:cs="宋体" w:hint="eastAsia"/>
          <w:kern w:val="0"/>
          <w:szCs w:val="21"/>
        </w:rPr>
        <w:t>（2）当满足以下条作时，采购人向中标人发出验收报告：</w:t>
      </w:r>
    </w:p>
    <w:p>
      <w:pPr>
        <w:spacing w:line="360" w:lineRule="auto"/>
        <w:ind w:firstLine="424" w:firstLineChars="202"/>
        <w:rPr>
          <w:rFonts w:ascii="宋体" w:hAnsi="宋体" w:cs="宋体"/>
          <w:kern w:val="0"/>
          <w:szCs w:val="21"/>
        </w:rPr>
      </w:pPr>
      <w:r>
        <w:rPr>
          <w:rFonts w:ascii="宋体" w:hAnsi="宋体" w:cs="宋体" w:hint="eastAsia"/>
          <w:kern w:val="0"/>
          <w:szCs w:val="21"/>
        </w:rPr>
        <w:t>a、中标人已按照合同约定提供了全部服务以及完整的项目资料；</w:t>
      </w:r>
    </w:p>
    <w:p>
      <w:pPr>
        <w:spacing w:line="288" w:lineRule="auto"/>
        <w:ind w:firstLine="420" w:firstLineChars="200"/>
        <w:rPr>
          <w:rFonts w:ascii="宋体" w:hAnsi="宋体" w:cs="楷体"/>
          <w:bCs/>
          <w:szCs w:val="24"/>
        </w:rPr>
      </w:pPr>
      <w:r>
        <w:rPr>
          <w:rFonts w:ascii="宋体" w:hAnsi="宋体" w:cs="宋体" w:hint="eastAsia"/>
          <w:kern w:val="0"/>
          <w:szCs w:val="21"/>
        </w:rPr>
        <w:t>b、符合投标文件及合同技术服务要求，通过采购人验收</w:t>
      </w:r>
      <w:r>
        <w:rPr>
          <w:rFonts w:ascii="宋体" w:hAnsi="宋体" w:cs="楷体" w:hint="eastAsia"/>
          <w:bCs/>
          <w:szCs w:val="24"/>
        </w:rPr>
        <w:t>。</w:t>
      </w:r>
    </w:p>
    <w:p>
      <w:pPr>
        <w:spacing w:line="360" w:lineRule="auto"/>
        <w:rPr>
          <w:rFonts w:ascii="宋体" w:eastAsia="宋体" w:hAnsi="宋体"/>
          <w:b/>
        </w:rPr>
      </w:pPr>
      <w:r>
        <w:rPr>
          <w:rFonts w:ascii="宋体" w:eastAsia="宋体" w:hAnsi="宋体" w:hint="eastAsia"/>
          <w:b/>
        </w:rPr>
        <w:t>（六）违约责任：</w:t>
      </w:r>
    </w:p>
    <w:p>
      <w:pPr>
        <w:spacing w:line="360" w:lineRule="auto"/>
        <w:ind w:firstLine="420" w:firstLineChars="200"/>
        <w:rPr>
          <w:rFonts w:ascii="宋体" w:hAnsi="宋体" w:cs="楷体"/>
          <w:bCs/>
          <w:szCs w:val="24"/>
        </w:rPr>
      </w:pPr>
      <w:r>
        <w:rPr>
          <w:rFonts w:ascii="宋体" w:hAnsi="宋体" w:cs="楷体" w:hint="eastAsia"/>
          <w:bCs/>
          <w:szCs w:val="24"/>
        </w:rPr>
        <w:t>（1）因中标人原因，未能按规定时间完成合同约定服务内容，每延误一日历天，采购人可在支付合同余款中扣除合同总价款5‰，若延误60日历天，采购人有权解除合同，并要求中标人返还所有已付价款。给采购人造成损失的，中标人应当承担全部赔偿责任。</w:t>
      </w:r>
    </w:p>
    <w:p>
      <w:pPr>
        <w:spacing w:line="360" w:lineRule="auto"/>
        <w:ind w:firstLine="420" w:firstLineChars="200"/>
        <w:rPr>
          <w:rFonts w:ascii="宋体" w:hAnsi="宋体" w:cs="楷体"/>
          <w:bCs/>
          <w:szCs w:val="24"/>
        </w:rPr>
      </w:pPr>
      <w:r>
        <w:rPr>
          <w:rFonts w:ascii="宋体" w:hAnsi="宋体" w:cs="楷体" w:hint="eastAsia"/>
          <w:bCs/>
          <w:szCs w:val="24"/>
        </w:rPr>
        <w:t>（2）由于中标人原因造成项目成果质量低劣，不能满足合同约定项目验收要求时，应继续完善项目工作，其费用由中标人承担。</w:t>
      </w:r>
    </w:p>
    <w:p>
      <w:pPr>
        <w:spacing w:line="360" w:lineRule="auto"/>
        <w:ind w:firstLine="420" w:firstLineChars="200"/>
        <w:rPr>
          <w:rFonts w:ascii="宋体" w:hAnsi="宋体" w:cs="楷体"/>
          <w:bCs/>
          <w:szCs w:val="24"/>
        </w:rPr>
      </w:pPr>
      <w:r>
        <w:rPr>
          <w:rFonts w:ascii="宋体" w:hAnsi="宋体" w:cs="楷体" w:hint="eastAsia"/>
          <w:bCs/>
          <w:szCs w:val="24"/>
        </w:rPr>
        <w:t>（3）如中标人提供的服务不符合合同约定的质量要求，必须在采购人提出要求7日历天内无条件整改，其费用由中标人承担。</w:t>
      </w:r>
    </w:p>
    <w:p>
      <w:pPr>
        <w:spacing w:line="360" w:lineRule="auto"/>
        <w:ind w:firstLine="420" w:firstLineChars="200"/>
        <w:rPr>
          <w:rFonts w:ascii="宋体" w:hAnsi="宋体" w:cs="楷体"/>
          <w:bCs/>
          <w:szCs w:val="24"/>
        </w:rPr>
      </w:pPr>
      <w:r>
        <w:rPr>
          <w:rFonts w:ascii="宋体" w:hAnsi="宋体" w:cs="楷体" w:hint="eastAsia"/>
          <w:bCs/>
          <w:szCs w:val="24"/>
        </w:rPr>
        <w:t>（4）如中标人工作人员违反合同项下关于保密义务的规定的，给采购人造成损失的，中标人应当承担全部赔偿责任，涉及违法犯罪的人员，采购人可移送有关机关处理。</w:t>
      </w:r>
    </w:p>
    <w:p>
      <w:pPr>
        <w:spacing w:line="360" w:lineRule="auto"/>
        <w:ind w:firstLine="420" w:firstLineChars="200"/>
        <w:rPr>
          <w:rFonts w:ascii="宋体" w:hAnsi="宋体" w:cs="楷体"/>
          <w:bCs/>
          <w:szCs w:val="24"/>
        </w:rPr>
      </w:pPr>
      <w:r>
        <w:rPr>
          <w:rFonts w:ascii="宋体" w:hAnsi="宋体" w:cs="楷体" w:hint="eastAsia"/>
          <w:bCs/>
          <w:szCs w:val="24"/>
        </w:rPr>
        <w:t>（5）因不可抗力（包括但不限于自然灾害、政府行为、政策调整等事件）造成本协议延迟履行或任何一方违约，双方均无需承担违约责任，受影响一方应尽可能及时通知另一方。如前述事件妨碍协议履行达三个月以上的，双方可协商修改合同或终止合同。</w:t>
      </w:r>
    </w:p>
    <w:p>
      <w:pPr>
        <w:keepNext/>
        <w:keepLines/>
        <w:adjustRightInd w:val="0"/>
        <w:spacing w:before="156" w:beforeLines="50" w:after="156" w:afterLines="50"/>
        <w:jc w:val="center"/>
        <w:textAlignment w:val="baseline"/>
        <w:outlineLvl w:val="1"/>
        <w:rPr>
          <w:rFonts w:ascii="宋体" w:hAnsi="宋体" w:hint="eastAsia"/>
          <w:b/>
          <w:bCs/>
          <w:kern w:val="0"/>
          <w:sz w:val="28"/>
          <w:szCs w:val="28"/>
          <w:lang w:val="en-US" w:eastAsia="zh-CN"/>
        </w:rPr>
      </w:pPr>
    </w:p>
    <w:p>
      <w:pPr>
        <w:keepNext/>
        <w:keepLines/>
        <w:adjustRightInd w:val="0"/>
        <w:spacing w:before="156" w:beforeLines="50" w:after="156" w:afterLines="50"/>
        <w:jc w:val="center"/>
        <w:textAlignment w:val="baseline"/>
        <w:outlineLvl w:val="1"/>
        <w:rPr>
          <w:rFonts w:ascii="宋体" w:hAnsi="宋体"/>
          <w:b/>
          <w:bCs/>
          <w:kern w:val="0"/>
          <w:sz w:val="28"/>
          <w:szCs w:val="28"/>
        </w:rPr>
      </w:pPr>
      <w:r>
        <w:rPr>
          <w:rFonts w:ascii="宋体" w:hAnsi="宋体" w:hint="eastAsia"/>
          <w:b/>
          <w:bCs/>
          <w:kern w:val="0"/>
          <w:sz w:val="28"/>
          <w:szCs w:val="28"/>
          <w:lang w:val="en-US" w:eastAsia="zh-CN"/>
        </w:rPr>
        <w:t>六</w:t>
      </w:r>
      <w:r>
        <w:rPr>
          <w:rFonts w:ascii="宋体" w:hAnsi="宋体" w:hint="eastAsia"/>
          <w:b/>
          <w:bCs/>
          <w:kern w:val="0"/>
          <w:sz w:val="28"/>
          <w:szCs w:val="28"/>
        </w:rPr>
        <w:t>、投标报价</w:t>
      </w:r>
    </w:p>
    <w:p>
      <w:pPr>
        <w:spacing w:before="78" w:beforeLines="25" w:after="78" w:afterLines="25" w:line="360" w:lineRule="auto"/>
        <w:ind w:firstLine="393" w:firstLineChars="187"/>
        <w:rPr>
          <w:rFonts w:ascii="宋体" w:hAnsi="宋体"/>
          <w:szCs w:val="21"/>
        </w:rPr>
      </w:pPr>
      <w:r>
        <w:rPr>
          <w:rFonts w:ascii="宋体" w:hAnsi="宋体" w:cs="宋体" w:hint="eastAsia"/>
          <w:szCs w:val="21"/>
        </w:rPr>
        <w:t>1、本项目服务费采用包干制，应包括服务成本、法定税费和企业的利润。由企业根据招标文件</w:t>
      </w:r>
      <w:r>
        <w:rPr>
          <w:rFonts w:ascii="宋体" w:hAnsi="宋体" w:hint="eastAsia"/>
          <w:szCs w:val="21"/>
        </w:rPr>
        <w:t>所提供的资料自行测算投标报价；一经中标，投标报价总价作为中标单位与采购人签定的合同金额，合同期限内不做调整。</w:t>
      </w:r>
    </w:p>
    <w:p>
      <w:pPr>
        <w:spacing w:before="78" w:beforeLines="25" w:after="78" w:afterLines="25" w:line="360" w:lineRule="auto"/>
        <w:ind w:firstLine="393" w:firstLineChars="187"/>
        <w:rPr>
          <w:rFonts w:ascii="宋体" w:hAnsi="宋体"/>
          <w:szCs w:val="21"/>
        </w:rPr>
      </w:pPr>
      <w:r>
        <w:rPr>
          <w:rFonts w:ascii="宋体" w:hAnsi="宋体" w:hint="eastAsia"/>
          <w:szCs w:val="21"/>
        </w:rPr>
        <w:t>2、投标人应根据本企业的成本自行决定报价，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before="78" w:beforeLines="25" w:after="78" w:afterLines="25" w:line="360" w:lineRule="auto"/>
        <w:ind w:firstLine="393" w:firstLineChars="187"/>
        <w:rPr>
          <w:rFonts w:ascii="宋体" w:hAnsi="宋体"/>
          <w:szCs w:val="21"/>
        </w:rPr>
      </w:pPr>
      <w:r>
        <w:rPr>
          <w:rFonts w:ascii="宋体" w:hAnsi="宋体" w:hint="eastAsia"/>
          <w:szCs w:val="21"/>
        </w:rPr>
        <w:t>3、投标人的投标报价，应是本项目招标范围和招标文件及合同条款上所列的各项内容中所述的全部，不得以任何理由予以重复，并以投标人在投标文件中提出的综合单价或总价为依据。</w:t>
      </w:r>
    </w:p>
    <w:p>
      <w:pPr>
        <w:spacing w:before="78" w:beforeLines="25" w:after="78" w:afterLines="25" w:line="360" w:lineRule="auto"/>
        <w:ind w:firstLine="393" w:firstLineChars="187"/>
        <w:rPr>
          <w:rFonts w:ascii="宋体" w:hAnsi="宋体"/>
          <w:szCs w:val="21"/>
        </w:rPr>
      </w:pPr>
      <w:r>
        <w:rPr>
          <w:rFonts w:ascii="宋体" w:hAnsi="宋体" w:hint="eastAsia"/>
          <w:szCs w:val="21"/>
        </w:rPr>
        <w:t>4、除非招标文件作出变更，否则，投标人应毫无例外地按招标文件所列的清单中项目和数量填报综合单价或总价。投标人未填综合单价或总价的项目，在实施后，将不得以支付，并视作该项费用已包括在其它有价款的综合单价或总价内。</w:t>
      </w:r>
    </w:p>
    <w:p>
      <w:pPr>
        <w:spacing w:before="78" w:beforeLines="25" w:after="78" w:afterLines="25" w:line="360" w:lineRule="auto"/>
        <w:ind w:firstLine="393" w:firstLineChars="187"/>
        <w:rPr>
          <w:rFonts w:ascii="宋体" w:hAnsi="宋体"/>
          <w:szCs w:val="21"/>
        </w:rPr>
      </w:pPr>
      <w:r>
        <w:rPr>
          <w:rFonts w:ascii="宋体" w:hAnsi="宋体" w:hint="eastAsia"/>
          <w:szCs w:val="21"/>
        </w:rPr>
        <w:t>5、投标人应充分了解项目的位置、情况、道路及任何其它足以影响投标报价的情况，任何因忽视或误解项目情况而导致的索赔或服务期限延长申请将不获批准。</w:t>
      </w:r>
    </w:p>
    <w:p>
      <w:pPr>
        <w:spacing w:before="78" w:beforeLines="25" w:after="78" w:afterLines="25" w:line="360" w:lineRule="auto"/>
        <w:ind w:firstLine="393" w:firstLineChars="187"/>
        <w:rPr>
          <w:rFonts w:ascii="宋体" w:hAnsi="宋体"/>
          <w:szCs w:val="21"/>
        </w:rPr>
      </w:pPr>
      <w:r>
        <w:rPr>
          <w:rFonts w:ascii="宋体" w:hAnsi="宋体" w:hint="eastAsia"/>
          <w:szCs w:val="21"/>
        </w:rPr>
        <w:t>6、投标人不得期望通过索赔等方式获取补偿，否则，除可能遭到拒绝外，还可能将被作为不良行为记录在案，并可能影响其以后参加政府采购的项目投标。各投标人在投标报价时，应充分考虑投标报价的风险。</w:t>
      </w:r>
    </w:p>
    <w:p>
      <w:pPr>
        <w:keepNext/>
        <w:keepLines/>
        <w:adjustRightInd w:val="0"/>
        <w:spacing w:before="156" w:beforeLines="50" w:after="156" w:afterLines="50"/>
        <w:jc w:val="center"/>
        <w:textAlignment w:val="baseline"/>
        <w:outlineLvl w:val="1"/>
        <w:rPr>
          <w:rFonts w:ascii="宋体" w:eastAsia="宋体" w:hAnsi="宋体" w:hint="eastAsia"/>
          <w:b/>
          <w:bCs/>
          <w:kern w:val="0"/>
          <w:sz w:val="28"/>
          <w:szCs w:val="28"/>
        </w:rPr>
      </w:pPr>
      <w:r>
        <w:rPr>
          <w:rFonts w:ascii="宋体" w:eastAsia="宋体" w:hAnsi="宋体" w:hint="eastAsia"/>
          <w:b/>
          <w:bCs/>
          <w:kern w:val="0"/>
          <w:sz w:val="28"/>
          <w:szCs w:val="28"/>
          <w:lang w:val="en-US" w:eastAsia="zh-CN"/>
        </w:rPr>
        <w:t>七</w:t>
      </w:r>
      <w:r>
        <w:rPr>
          <w:rFonts w:ascii="宋体" w:eastAsia="宋体" w:hAnsi="宋体" w:hint="eastAsia"/>
          <w:b/>
          <w:bCs/>
          <w:kern w:val="0"/>
          <w:sz w:val="28"/>
          <w:szCs w:val="28"/>
        </w:rPr>
        <w:t>、考核标准</w:t>
      </w:r>
    </w:p>
    <w:p>
      <w:pPr>
        <w:widowControl/>
        <w:jc w:val="left"/>
        <w:rPr>
          <w:rFonts w:ascii="宋体" w:hAnsi="宋体"/>
          <w:szCs w:val="21"/>
        </w:rPr>
      </w:pPr>
      <w:r>
        <w:rPr>
          <w:rFonts w:hint="eastAsia"/>
          <w:b/>
          <w:sz w:val="24"/>
          <w:lang w:val="en-US" w:eastAsia="zh-CN"/>
        </w:rPr>
        <w:t>附表：</w:t>
      </w:r>
      <w:r>
        <w:rPr>
          <w:b/>
          <w:sz w:val="24"/>
        </w:rPr>
        <w:t>《监所医疗卫生服务考核表》</w:t>
      </w:r>
    </w:p>
    <w:p>
      <w:pPr>
        <w:pStyle w:val="null3"/>
        <w:ind w:firstLine="480"/>
        <w:jc w:val="center"/>
        <w:rPr>
          <w:b/>
          <w:sz w:val="24"/>
        </w:rPr>
      </w:pPr>
    </w:p>
    <w:p>
      <w:pPr>
        <w:pStyle w:val="null3"/>
        <w:ind w:firstLine="480"/>
        <w:jc w:val="center"/>
      </w:pPr>
      <w:r>
        <w:rPr>
          <w:b/>
          <w:sz w:val="24"/>
        </w:rPr>
        <w:t>表一《监所医疗卫生服务考核表》</w:t>
      </w:r>
    </w:p>
    <w:p>
      <w:pPr>
        <w:pStyle w:val="null3"/>
        <w:jc w:val="both"/>
        <w:rPr>
          <w:b/>
          <w:sz w:val="24"/>
        </w:rPr>
      </w:pPr>
    </w:p>
    <w:p>
      <w:pPr>
        <w:pStyle w:val="null3"/>
        <w:jc w:val="both"/>
      </w:pPr>
      <w:r>
        <w:rPr>
          <w:b/>
          <w:sz w:val="24"/>
        </w:rPr>
        <w:t xml:space="preserve">验收单位：                                        </w:t>
      </w:r>
      <w:r>
        <w:rPr>
          <w:rFonts w:hint="eastAsia"/>
          <w:b/>
          <w:sz w:val="24"/>
          <w:lang w:val="en-US" w:eastAsia="zh-CN"/>
        </w:rPr>
        <w:t>供应商</w:t>
      </w:r>
      <w:r>
        <w:rPr>
          <w:b/>
          <w:sz w:val="24"/>
        </w:rPr>
        <w:t>名称：</w:t>
      </w:r>
    </w:p>
    <w:p>
      <w:pPr>
        <w:pStyle w:val="null3"/>
        <w:jc w:val="both"/>
      </w:pPr>
      <w:r>
        <w:rPr>
          <w:sz w:val="24"/>
        </w:rPr>
        <w:t>考核人员：               确认结果：               考核日期：</w:t>
      </w:r>
    </w:p>
    <w:tbl>
      <w:tblPr>
        <w:tblStyle w:val="TableNormal"/>
        <w:tblW w:w="0" w:type="auto"/>
        <w:tblInd w:w="0" w:type="dxa"/>
        <w:tblBorders>
          <w:top w:val="nil"/>
          <w:left w:val="nil"/>
          <w:bottom w:val="nil"/>
          <w:right w:val="nil"/>
          <w:insideH w:val="nil"/>
          <w:insideV w:val="nil"/>
        </w:tblBorders>
        <w:tblCellMar>
          <w:top w:w="0" w:type="dxa"/>
          <w:left w:w="108" w:type="dxa"/>
          <w:bottom w:w="0" w:type="dxa"/>
          <w:right w:w="108" w:type="dxa"/>
        </w:tblCellMar>
      </w:tblPr>
      <w:tblGrid>
        <w:gridCol w:w="570"/>
        <w:gridCol w:w="1425"/>
        <w:gridCol w:w="1526"/>
        <w:gridCol w:w="4227"/>
        <w:gridCol w:w="654"/>
        <w:gridCol w:w="855"/>
      </w:tblGrid>
      <w:tr>
        <w:tblPrEx>
          <w:tblW w:w="0" w:type="auto"/>
          <w:tblInd w:w="0" w:type="dxa"/>
          <w:tblBorders>
            <w:top w:val="nil"/>
            <w:left w:val="nil"/>
            <w:bottom w:val="nil"/>
            <w:right w:val="nil"/>
            <w:insideH w:val="nil"/>
            <w:insideV w:val="nil"/>
          </w:tblBorders>
          <w:tblCellMar>
            <w:top w:w="0" w:type="dxa"/>
            <w:left w:w="108" w:type="dxa"/>
            <w:bottom w:w="0" w:type="dxa"/>
            <w:right w:w="108" w:type="dxa"/>
          </w:tblCellMar>
        </w:tblPrEx>
        <w:trPr>
          <w:trHeight w:val="629"/>
        </w:trPr>
        <w:tc>
          <w:tcPr>
            <w:tcW w:w="570" w:type="dxa"/>
            <w:tcBorders>
              <w:top w:val="single" w:sz="4" w:space="0" w:color="000000"/>
              <w:left w:val="single" w:sz="4" w:space="0" w:color="000000"/>
              <w:bottom w:val="single" w:sz="4" w:space="0" w:color="000000"/>
              <w:right w:val="single" w:sz="4" w:space="0" w:color="000000"/>
            </w:tcBorders>
            <w:noWrap w:val="0"/>
            <w:tcMar>
              <w:top w:w="0" w:type="dxa"/>
              <w:left w:w="105" w:type="dxa"/>
              <w:bottom w:w="0" w:type="dxa"/>
              <w:right w:w="105" w:type="dxa"/>
            </w:tcMar>
            <w:vAlign w:val="top"/>
          </w:tcPr>
          <w:p>
            <w:pPr>
              <w:pStyle w:val="null3"/>
              <w:jc w:val="center"/>
            </w:pPr>
            <w:r>
              <w:rPr>
                <w:sz w:val="24"/>
              </w:rPr>
              <w:t>编号</w:t>
            </w:r>
          </w:p>
        </w:tc>
        <w:tc>
          <w:tcPr>
            <w:tcW w:w="1425" w:type="dxa"/>
            <w:tcBorders>
              <w:top w:val="single" w:sz="4" w:space="0" w:color="000000"/>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center"/>
            </w:pPr>
            <w:r>
              <w:rPr>
                <w:sz w:val="24"/>
              </w:rPr>
              <w:t>项目</w:t>
            </w:r>
          </w:p>
        </w:tc>
        <w:tc>
          <w:tcPr>
            <w:tcW w:w="1526" w:type="dxa"/>
            <w:tcBorders>
              <w:top w:val="single" w:sz="4" w:space="0" w:color="000000"/>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center"/>
            </w:pPr>
            <w:r>
              <w:rPr>
                <w:sz w:val="24"/>
              </w:rPr>
              <w:t>考核内容</w:t>
            </w:r>
          </w:p>
        </w:tc>
        <w:tc>
          <w:tcPr>
            <w:tcW w:w="4227" w:type="dxa"/>
            <w:tcBorders>
              <w:top w:val="single" w:sz="4" w:space="0" w:color="000000"/>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center"/>
            </w:pPr>
            <w:r>
              <w:rPr>
                <w:sz w:val="24"/>
              </w:rPr>
              <w:t>考核规则</w:t>
            </w:r>
          </w:p>
        </w:tc>
        <w:tc>
          <w:tcPr>
            <w:tcW w:w="654" w:type="dxa"/>
            <w:tcBorders>
              <w:top w:val="single" w:sz="4" w:space="0" w:color="000000"/>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center"/>
            </w:pPr>
            <w:r>
              <w:rPr>
                <w:sz w:val="24"/>
              </w:rPr>
              <w:t>扣分</w:t>
            </w:r>
          </w:p>
        </w:tc>
        <w:tc>
          <w:tcPr>
            <w:tcW w:w="855" w:type="dxa"/>
            <w:tcBorders>
              <w:top w:val="single" w:sz="4" w:space="0" w:color="000000"/>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center"/>
            </w:pPr>
            <w:r>
              <w:rPr>
                <w:sz w:val="24"/>
              </w:rPr>
              <w:t>备注</w:t>
            </w:r>
          </w:p>
        </w:tc>
      </w:tr>
      <w:tr>
        <w:tblPrEx>
          <w:tblW w:w="0" w:type="auto"/>
          <w:tblInd w:w="0" w:type="dxa"/>
          <w:tblCellMar>
            <w:top w:w="0" w:type="dxa"/>
            <w:left w:w="108" w:type="dxa"/>
            <w:bottom w:w="0" w:type="dxa"/>
            <w:right w:w="108" w:type="dxa"/>
          </w:tblCellMar>
        </w:tblPrEx>
        <w:trPr>
          <w:trHeight w:val="939"/>
        </w:trPr>
        <w:tc>
          <w:tcPr>
            <w:tcW w:w="570" w:type="dxa"/>
            <w:vMerge w:val="restart"/>
            <w:tcBorders>
              <w:top w:val="nil"/>
              <w:left w:val="single" w:sz="4" w:space="0" w:color="000000"/>
              <w:bottom w:val="single" w:sz="4" w:space="0" w:color="000000"/>
              <w:right w:val="single" w:sz="4" w:space="0" w:color="000000"/>
            </w:tcBorders>
            <w:noWrap w:val="0"/>
            <w:tcMar>
              <w:top w:w="0" w:type="dxa"/>
              <w:left w:w="105" w:type="dxa"/>
              <w:bottom w:w="0" w:type="dxa"/>
              <w:right w:w="105" w:type="dxa"/>
            </w:tcMar>
            <w:vAlign w:val="top"/>
          </w:tcPr>
          <w:p>
            <w:pPr>
              <w:pStyle w:val="null3"/>
              <w:jc w:val="center"/>
            </w:pPr>
            <w:r>
              <w:rPr>
                <w:sz w:val="24"/>
              </w:rPr>
              <w:t>1</w:t>
            </w:r>
          </w:p>
        </w:tc>
        <w:tc>
          <w:tcPr>
            <w:tcW w:w="1425" w:type="dxa"/>
            <w:vMerge w:val="restart"/>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both"/>
            </w:pPr>
            <w:r>
              <w:rPr>
                <w:sz w:val="24"/>
              </w:rPr>
              <w:t>管理（20分）</w:t>
            </w:r>
          </w:p>
        </w:tc>
        <w:tc>
          <w:tcPr>
            <w:tcW w:w="1526"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both"/>
            </w:pPr>
            <w:r>
              <w:rPr>
                <w:sz w:val="24"/>
              </w:rPr>
              <w:t>服务态度</w:t>
            </w:r>
          </w:p>
        </w:tc>
        <w:tc>
          <w:tcPr>
            <w:tcW w:w="4227"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both"/>
            </w:pPr>
            <w:r>
              <w:rPr>
                <w:sz w:val="24"/>
              </w:rPr>
              <w:t>医护人员严格遵守甲方工作制度，不无故出现迟到、早退、旷工等情况，每出现一次现象，扣减1分。</w:t>
            </w:r>
          </w:p>
        </w:tc>
        <w:tc>
          <w:tcPr>
            <w:tcW w:w="654"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center"/>
            </w:pPr>
          </w:p>
        </w:tc>
        <w:tc>
          <w:tcPr>
            <w:tcW w:w="855"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tc>
      </w:tr>
      <w:tr>
        <w:tblPrEx>
          <w:tblW w:w="0" w:type="auto"/>
          <w:tblInd w:w="0" w:type="dxa"/>
          <w:tblCellMar>
            <w:top w:w="0" w:type="dxa"/>
            <w:left w:w="108" w:type="dxa"/>
            <w:bottom w:w="0" w:type="dxa"/>
            <w:right w:w="108" w:type="dxa"/>
          </w:tblCellMar>
        </w:tblPrEx>
        <w:trPr>
          <w:trHeight w:val="1223"/>
        </w:trPr>
        <w:tc>
          <w:tcPr>
            <w:tcW w:w="570" w:type="dxa"/>
            <w:vMerge/>
            <w:tcBorders>
              <w:top w:val="nil"/>
              <w:left w:val="single" w:sz="4" w:space="0" w:color="000000"/>
              <w:bottom w:val="single" w:sz="4" w:space="0" w:color="000000"/>
              <w:right w:val="single" w:sz="4" w:space="0" w:color="000000"/>
            </w:tcBorders>
            <w:noWrap w:val="0"/>
            <w:vAlign w:val="top"/>
          </w:tcPr>
          <w:p/>
        </w:tc>
        <w:tc>
          <w:tcPr>
            <w:tcW w:w="1425" w:type="dxa"/>
            <w:vMerge/>
            <w:tcBorders>
              <w:top w:val="nil"/>
              <w:left w:val="nil"/>
              <w:bottom w:val="single" w:sz="4" w:space="0" w:color="000000"/>
              <w:right w:val="single" w:sz="4" w:space="0" w:color="000000"/>
            </w:tcBorders>
            <w:noWrap w:val="0"/>
            <w:vAlign w:val="top"/>
          </w:tcPr>
          <w:p/>
        </w:tc>
        <w:tc>
          <w:tcPr>
            <w:tcW w:w="1526"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both"/>
            </w:pPr>
            <w:r>
              <w:rPr>
                <w:sz w:val="24"/>
              </w:rPr>
              <w:t>服务质量</w:t>
            </w:r>
          </w:p>
        </w:tc>
        <w:tc>
          <w:tcPr>
            <w:tcW w:w="4227"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both"/>
            </w:pPr>
            <w:r>
              <w:rPr>
                <w:sz w:val="24"/>
              </w:rPr>
              <w:t>医护人员严格遵守监所管理制度和保密制度，服从甲方工作安排及调整，</w:t>
            </w:r>
            <w:r>
              <w:rPr>
                <w:b/>
                <w:bCs/>
                <w:sz w:val="24"/>
                <w:u w:val="double"/>
              </w:rPr>
              <w:t>每出现一次因工作质量被</w:t>
            </w:r>
            <w:r>
              <w:rPr>
                <w:rFonts w:hint="eastAsia"/>
                <w:b/>
                <w:bCs/>
                <w:sz w:val="24"/>
                <w:u w:val="double"/>
                <w:lang w:val="en-US" w:eastAsia="zh-CN"/>
              </w:rPr>
              <w:t>有效</w:t>
            </w:r>
            <w:r>
              <w:rPr>
                <w:b/>
                <w:bCs/>
                <w:sz w:val="24"/>
                <w:u w:val="double"/>
              </w:rPr>
              <w:t>投诉的现象</w:t>
            </w:r>
            <w:r>
              <w:rPr>
                <w:sz w:val="24"/>
              </w:rPr>
              <w:t>，扣减1分。出现涉密情况，每次扣减5分。</w:t>
            </w:r>
          </w:p>
        </w:tc>
        <w:tc>
          <w:tcPr>
            <w:tcW w:w="654"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center"/>
            </w:pPr>
          </w:p>
        </w:tc>
        <w:tc>
          <w:tcPr>
            <w:tcW w:w="855"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tc>
      </w:tr>
      <w:tr>
        <w:tblPrEx>
          <w:tblW w:w="0" w:type="auto"/>
          <w:tblInd w:w="0" w:type="dxa"/>
          <w:tblCellMar>
            <w:top w:w="0" w:type="dxa"/>
            <w:left w:w="108" w:type="dxa"/>
            <w:bottom w:w="0" w:type="dxa"/>
            <w:right w:w="108" w:type="dxa"/>
          </w:tblCellMar>
        </w:tblPrEx>
        <w:trPr>
          <w:trHeight w:val="1558"/>
        </w:trPr>
        <w:tc>
          <w:tcPr>
            <w:tcW w:w="570" w:type="dxa"/>
            <w:vMerge/>
            <w:tcBorders>
              <w:top w:val="nil"/>
              <w:left w:val="single" w:sz="4" w:space="0" w:color="000000"/>
              <w:bottom w:val="single" w:sz="4" w:space="0" w:color="000000"/>
              <w:right w:val="single" w:sz="4" w:space="0" w:color="000000"/>
            </w:tcBorders>
            <w:noWrap w:val="0"/>
            <w:vAlign w:val="top"/>
          </w:tcPr>
          <w:p/>
        </w:tc>
        <w:tc>
          <w:tcPr>
            <w:tcW w:w="1425" w:type="dxa"/>
            <w:vMerge/>
            <w:tcBorders>
              <w:top w:val="nil"/>
              <w:left w:val="nil"/>
              <w:bottom w:val="single" w:sz="4" w:space="0" w:color="000000"/>
              <w:right w:val="single" w:sz="4" w:space="0" w:color="000000"/>
            </w:tcBorders>
            <w:noWrap w:val="0"/>
            <w:vAlign w:val="top"/>
          </w:tcPr>
          <w:p/>
        </w:tc>
        <w:tc>
          <w:tcPr>
            <w:tcW w:w="1526"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both"/>
            </w:pPr>
            <w:r>
              <w:rPr>
                <w:sz w:val="24"/>
              </w:rPr>
              <w:t>人员配备情况</w:t>
            </w:r>
          </w:p>
        </w:tc>
        <w:tc>
          <w:tcPr>
            <w:tcW w:w="4227"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both"/>
            </w:pPr>
            <w:r>
              <w:rPr>
                <w:sz w:val="24"/>
              </w:rPr>
              <w:t>乙方按照采购文件要求和投标文件响应情况配备满足要求的持有国家规定有执业资格的医技人员，每出现一次人员数量、人员资质不符合要求的现象，扣减2分。</w:t>
            </w:r>
          </w:p>
        </w:tc>
        <w:tc>
          <w:tcPr>
            <w:tcW w:w="654"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center"/>
            </w:pPr>
          </w:p>
        </w:tc>
        <w:tc>
          <w:tcPr>
            <w:tcW w:w="855"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tc>
      </w:tr>
      <w:tr>
        <w:tblPrEx>
          <w:tblW w:w="0" w:type="auto"/>
          <w:tblInd w:w="0" w:type="dxa"/>
          <w:tblCellMar>
            <w:top w:w="0" w:type="dxa"/>
            <w:left w:w="108" w:type="dxa"/>
            <w:bottom w:w="0" w:type="dxa"/>
            <w:right w:w="108" w:type="dxa"/>
          </w:tblCellMar>
        </w:tblPrEx>
        <w:trPr>
          <w:trHeight w:val="1143"/>
        </w:trPr>
        <w:tc>
          <w:tcPr>
            <w:tcW w:w="570" w:type="dxa"/>
            <w:vMerge/>
            <w:tcBorders>
              <w:top w:val="nil"/>
              <w:left w:val="single" w:sz="4" w:space="0" w:color="000000"/>
              <w:bottom w:val="single" w:sz="4" w:space="0" w:color="000000"/>
              <w:right w:val="single" w:sz="4" w:space="0" w:color="000000"/>
            </w:tcBorders>
            <w:noWrap w:val="0"/>
            <w:vAlign w:val="top"/>
          </w:tcPr>
          <w:p/>
        </w:tc>
        <w:tc>
          <w:tcPr>
            <w:tcW w:w="1425" w:type="dxa"/>
            <w:vMerge/>
            <w:tcBorders>
              <w:top w:val="nil"/>
              <w:left w:val="nil"/>
              <w:bottom w:val="single" w:sz="4" w:space="0" w:color="000000"/>
              <w:right w:val="single" w:sz="4" w:space="0" w:color="000000"/>
            </w:tcBorders>
            <w:noWrap w:val="0"/>
            <w:vAlign w:val="top"/>
          </w:tcPr>
          <w:p/>
        </w:tc>
        <w:tc>
          <w:tcPr>
            <w:tcW w:w="1526"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both"/>
            </w:pPr>
            <w:r>
              <w:rPr>
                <w:sz w:val="24"/>
              </w:rPr>
              <w:t>检查及监督</w:t>
            </w:r>
          </w:p>
        </w:tc>
        <w:tc>
          <w:tcPr>
            <w:tcW w:w="4227"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both"/>
            </w:pPr>
            <w:r>
              <w:rPr>
                <w:sz w:val="24"/>
              </w:rPr>
              <w:t>乙方每月不少于一次派人至监所检查及监督医疗社会服务实施情况。出现当月未进行监所检查及监督医疗社会服务实施情况扣1分。</w:t>
            </w:r>
          </w:p>
        </w:tc>
        <w:tc>
          <w:tcPr>
            <w:tcW w:w="654"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center"/>
            </w:pPr>
          </w:p>
        </w:tc>
        <w:tc>
          <w:tcPr>
            <w:tcW w:w="855"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tc>
      </w:tr>
      <w:tr>
        <w:tblPrEx>
          <w:tblW w:w="0" w:type="auto"/>
          <w:tblInd w:w="0" w:type="dxa"/>
          <w:tblCellMar>
            <w:top w:w="0" w:type="dxa"/>
            <w:left w:w="108" w:type="dxa"/>
            <w:bottom w:w="0" w:type="dxa"/>
            <w:right w:w="108" w:type="dxa"/>
          </w:tblCellMar>
        </w:tblPrEx>
        <w:trPr>
          <w:trHeight w:val="1868"/>
        </w:trPr>
        <w:tc>
          <w:tcPr>
            <w:tcW w:w="570" w:type="dxa"/>
            <w:vMerge w:val="restart"/>
            <w:tcBorders>
              <w:top w:val="nil"/>
              <w:left w:val="single" w:sz="4" w:space="0" w:color="000000"/>
              <w:bottom w:val="single" w:sz="4" w:space="0" w:color="000000"/>
              <w:right w:val="single" w:sz="4" w:space="0" w:color="000000"/>
            </w:tcBorders>
            <w:noWrap w:val="0"/>
            <w:tcMar>
              <w:top w:w="0" w:type="dxa"/>
              <w:left w:w="105" w:type="dxa"/>
              <w:bottom w:w="0" w:type="dxa"/>
              <w:right w:w="105" w:type="dxa"/>
            </w:tcMar>
            <w:vAlign w:val="top"/>
          </w:tcPr>
          <w:p>
            <w:pPr>
              <w:pStyle w:val="null3"/>
              <w:jc w:val="center"/>
            </w:pPr>
            <w:r>
              <w:rPr>
                <w:sz w:val="24"/>
              </w:rPr>
              <w:t>2</w:t>
            </w:r>
          </w:p>
        </w:tc>
        <w:tc>
          <w:tcPr>
            <w:tcW w:w="1425" w:type="dxa"/>
            <w:vMerge w:val="restart"/>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spacing w:after="120"/>
              <w:jc w:val="both"/>
            </w:pPr>
            <w:r>
              <w:rPr>
                <w:sz w:val="24"/>
              </w:rPr>
              <w:t>服务内容及质量（35分）</w:t>
            </w:r>
          </w:p>
        </w:tc>
        <w:tc>
          <w:tcPr>
            <w:tcW w:w="1526"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spacing w:after="120"/>
              <w:jc w:val="both"/>
            </w:pPr>
            <w:r>
              <w:rPr>
                <w:sz w:val="24"/>
              </w:rPr>
              <w:t>人员值班情况</w:t>
            </w:r>
          </w:p>
        </w:tc>
        <w:tc>
          <w:tcPr>
            <w:tcW w:w="4227"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both"/>
            </w:pPr>
            <w:r>
              <w:rPr>
                <w:sz w:val="24"/>
              </w:rPr>
              <w:t>乙方根据甲方的工作特点和季节性要求，派驻的医务人员，在法定的工作时间框架内，安排甲方要求的日常分工与值班，提供24小时医疗服务。每出现一次未按要求进行值班的现象，扣减3分。</w:t>
            </w:r>
          </w:p>
        </w:tc>
        <w:tc>
          <w:tcPr>
            <w:tcW w:w="654"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center"/>
            </w:pPr>
          </w:p>
        </w:tc>
        <w:tc>
          <w:tcPr>
            <w:tcW w:w="855"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tc>
      </w:tr>
      <w:tr>
        <w:tblPrEx>
          <w:tblW w:w="0" w:type="auto"/>
          <w:tblInd w:w="0" w:type="dxa"/>
          <w:tblCellMar>
            <w:top w:w="0" w:type="dxa"/>
            <w:left w:w="108" w:type="dxa"/>
            <w:bottom w:w="0" w:type="dxa"/>
            <w:right w:w="108" w:type="dxa"/>
          </w:tblCellMar>
        </w:tblPrEx>
        <w:trPr>
          <w:trHeight w:val="1154"/>
        </w:trPr>
        <w:tc>
          <w:tcPr>
            <w:tcW w:w="570" w:type="dxa"/>
            <w:vMerge/>
            <w:tcBorders>
              <w:top w:val="nil"/>
              <w:left w:val="single" w:sz="4" w:space="0" w:color="000000"/>
              <w:bottom w:val="single" w:sz="4" w:space="0" w:color="000000"/>
              <w:right w:val="single" w:sz="4" w:space="0" w:color="000000"/>
            </w:tcBorders>
            <w:noWrap w:val="0"/>
            <w:vAlign w:val="top"/>
          </w:tcPr>
          <w:p/>
        </w:tc>
        <w:tc>
          <w:tcPr>
            <w:tcW w:w="1425" w:type="dxa"/>
            <w:vMerge/>
            <w:tcBorders>
              <w:top w:val="nil"/>
              <w:left w:val="nil"/>
              <w:bottom w:val="single" w:sz="4" w:space="0" w:color="000000"/>
              <w:right w:val="single" w:sz="4" w:space="0" w:color="000000"/>
            </w:tcBorders>
            <w:noWrap w:val="0"/>
            <w:vAlign w:val="top"/>
          </w:tcPr>
          <w:p/>
        </w:tc>
        <w:tc>
          <w:tcPr>
            <w:tcW w:w="1526"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both"/>
            </w:pPr>
            <w:r>
              <w:rPr>
                <w:sz w:val="24"/>
              </w:rPr>
              <w:t>医疗服务内容</w:t>
            </w:r>
          </w:p>
        </w:tc>
        <w:tc>
          <w:tcPr>
            <w:tcW w:w="4227"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both"/>
            </w:pPr>
            <w:r>
              <w:rPr>
                <w:sz w:val="24"/>
              </w:rPr>
              <w:t>负责组织对羁押期每满半年的被监管人员或拟投送监狱的罪犯，重新进行身体检查一次，每出现一个未按要求进行身体检查的人员的现象，扣减1分。</w:t>
            </w:r>
          </w:p>
        </w:tc>
        <w:tc>
          <w:tcPr>
            <w:tcW w:w="654"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center"/>
            </w:pPr>
          </w:p>
        </w:tc>
        <w:tc>
          <w:tcPr>
            <w:tcW w:w="855"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tc>
      </w:tr>
      <w:tr>
        <w:tblPrEx>
          <w:tblW w:w="0" w:type="auto"/>
          <w:tblInd w:w="0" w:type="dxa"/>
          <w:tblCellMar>
            <w:top w:w="0" w:type="dxa"/>
            <w:left w:w="108" w:type="dxa"/>
            <w:bottom w:w="0" w:type="dxa"/>
            <w:right w:w="108" w:type="dxa"/>
          </w:tblCellMar>
        </w:tblPrEx>
        <w:trPr>
          <w:trHeight w:val="1166"/>
        </w:trPr>
        <w:tc>
          <w:tcPr>
            <w:tcW w:w="570" w:type="dxa"/>
            <w:vMerge/>
            <w:tcBorders>
              <w:top w:val="nil"/>
              <w:left w:val="single" w:sz="4" w:space="0" w:color="000000"/>
              <w:bottom w:val="single" w:sz="4" w:space="0" w:color="000000"/>
              <w:right w:val="single" w:sz="4" w:space="0" w:color="000000"/>
            </w:tcBorders>
            <w:noWrap w:val="0"/>
            <w:vAlign w:val="top"/>
          </w:tcPr>
          <w:p/>
        </w:tc>
        <w:tc>
          <w:tcPr>
            <w:tcW w:w="1425" w:type="dxa"/>
            <w:vMerge/>
            <w:tcBorders>
              <w:top w:val="nil"/>
              <w:left w:val="nil"/>
              <w:bottom w:val="single" w:sz="4" w:space="0" w:color="000000"/>
              <w:right w:val="single" w:sz="4" w:space="0" w:color="000000"/>
            </w:tcBorders>
            <w:noWrap w:val="0"/>
            <w:vAlign w:val="top"/>
          </w:tcPr>
          <w:p/>
        </w:tc>
        <w:tc>
          <w:tcPr>
            <w:tcW w:w="1526"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both"/>
            </w:pPr>
            <w:r>
              <w:rPr>
                <w:sz w:val="24"/>
              </w:rPr>
              <w:t>常规巡诊服务</w:t>
            </w:r>
          </w:p>
        </w:tc>
        <w:tc>
          <w:tcPr>
            <w:tcW w:w="4227"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both"/>
            </w:pPr>
            <w:r>
              <w:rPr>
                <w:sz w:val="24"/>
              </w:rPr>
              <w:t>负责每日上、下午对被监管人员常规巡诊各一次，逐监室了解在押人员身体健康情况，每出现一次未按要求进行常规巡诊的现象，扣减2分。</w:t>
            </w:r>
          </w:p>
        </w:tc>
        <w:tc>
          <w:tcPr>
            <w:tcW w:w="654"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center"/>
            </w:pPr>
          </w:p>
        </w:tc>
        <w:tc>
          <w:tcPr>
            <w:tcW w:w="855"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tc>
      </w:tr>
      <w:tr>
        <w:tblPrEx>
          <w:tblW w:w="0" w:type="auto"/>
          <w:tblInd w:w="0" w:type="dxa"/>
          <w:tblCellMar>
            <w:top w:w="0" w:type="dxa"/>
            <w:left w:w="108" w:type="dxa"/>
            <w:bottom w:w="0" w:type="dxa"/>
            <w:right w:w="108" w:type="dxa"/>
          </w:tblCellMar>
        </w:tblPrEx>
        <w:trPr>
          <w:trHeight w:val="320"/>
        </w:trPr>
        <w:tc>
          <w:tcPr>
            <w:tcW w:w="570" w:type="dxa"/>
            <w:vMerge/>
            <w:tcBorders>
              <w:top w:val="nil"/>
              <w:left w:val="single" w:sz="4" w:space="0" w:color="000000"/>
              <w:bottom w:val="single" w:sz="4" w:space="0" w:color="000000"/>
              <w:right w:val="single" w:sz="4" w:space="0" w:color="000000"/>
            </w:tcBorders>
            <w:noWrap w:val="0"/>
            <w:vAlign w:val="top"/>
          </w:tcPr>
          <w:p/>
        </w:tc>
        <w:tc>
          <w:tcPr>
            <w:tcW w:w="1425" w:type="dxa"/>
            <w:vMerge/>
            <w:tcBorders>
              <w:top w:val="nil"/>
              <w:left w:val="nil"/>
              <w:bottom w:val="single" w:sz="4" w:space="0" w:color="000000"/>
              <w:right w:val="single" w:sz="4" w:space="0" w:color="000000"/>
            </w:tcBorders>
            <w:noWrap w:val="0"/>
            <w:vAlign w:val="top"/>
          </w:tcPr>
          <w:p/>
        </w:tc>
        <w:tc>
          <w:tcPr>
            <w:tcW w:w="1526"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both"/>
            </w:pPr>
            <w:r>
              <w:rPr>
                <w:sz w:val="24"/>
              </w:rPr>
              <w:t>人员档案简历</w:t>
            </w:r>
          </w:p>
        </w:tc>
        <w:tc>
          <w:tcPr>
            <w:tcW w:w="4227"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both"/>
            </w:pPr>
            <w:r>
              <w:rPr>
                <w:sz w:val="24"/>
              </w:rPr>
              <w:t>按照每人一档的规定为被监管人员建立医疗档案，建立医疗文书档案，并根据看守所、拘留所的工作需要设立日常工作台账，定期移交档案与资料，每出现一次未按要求建立档案或者移交档案与资料的现象，扣减1分。</w:t>
            </w:r>
          </w:p>
        </w:tc>
        <w:tc>
          <w:tcPr>
            <w:tcW w:w="654"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center"/>
            </w:pPr>
          </w:p>
        </w:tc>
        <w:tc>
          <w:tcPr>
            <w:tcW w:w="855"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tc>
      </w:tr>
      <w:tr>
        <w:tblPrEx>
          <w:tblW w:w="0" w:type="auto"/>
          <w:tblInd w:w="0" w:type="dxa"/>
          <w:tblCellMar>
            <w:top w:w="0" w:type="dxa"/>
            <w:left w:w="108" w:type="dxa"/>
            <w:bottom w:w="0" w:type="dxa"/>
            <w:right w:w="108" w:type="dxa"/>
          </w:tblCellMar>
        </w:tblPrEx>
        <w:trPr>
          <w:trHeight w:val="939"/>
        </w:trPr>
        <w:tc>
          <w:tcPr>
            <w:tcW w:w="570" w:type="dxa"/>
            <w:vMerge/>
            <w:tcBorders>
              <w:top w:val="nil"/>
              <w:left w:val="single" w:sz="4" w:space="0" w:color="000000"/>
              <w:bottom w:val="single" w:sz="4" w:space="0" w:color="000000"/>
              <w:right w:val="single" w:sz="4" w:space="0" w:color="000000"/>
            </w:tcBorders>
            <w:noWrap w:val="0"/>
            <w:vAlign w:val="top"/>
          </w:tcPr>
          <w:p/>
        </w:tc>
        <w:tc>
          <w:tcPr>
            <w:tcW w:w="1425" w:type="dxa"/>
            <w:vMerge/>
            <w:tcBorders>
              <w:top w:val="nil"/>
              <w:left w:val="nil"/>
              <w:bottom w:val="single" w:sz="4" w:space="0" w:color="000000"/>
              <w:right w:val="single" w:sz="4" w:space="0" w:color="000000"/>
            </w:tcBorders>
            <w:noWrap w:val="0"/>
            <w:vAlign w:val="top"/>
          </w:tcPr>
          <w:p/>
        </w:tc>
        <w:tc>
          <w:tcPr>
            <w:tcW w:w="1526"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both"/>
            </w:pPr>
            <w:r>
              <w:rPr>
                <w:sz w:val="24"/>
              </w:rPr>
              <w:t>医疗废物处理</w:t>
            </w:r>
          </w:p>
        </w:tc>
        <w:tc>
          <w:tcPr>
            <w:tcW w:w="4227"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both"/>
            </w:pPr>
            <w:r>
              <w:rPr>
                <w:sz w:val="24"/>
              </w:rPr>
              <w:t>负责医疗废物回收和按相关规定进行无害化处理。每出现一次没有按时按规处理，扣减1分。</w:t>
            </w:r>
          </w:p>
        </w:tc>
        <w:tc>
          <w:tcPr>
            <w:tcW w:w="654"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center"/>
            </w:pPr>
          </w:p>
        </w:tc>
        <w:tc>
          <w:tcPr>
            <w:tcW w:w="855"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tc>
      </w:tr>
      <w:tr>
        <w:tblPrEx>
          <w:tblW w:w="0" w:type="auto"/>
          <w:tblInd w:w="0" w:type="dxa"/>
          <w:tblCellMar>
            <w:top w:w="0" w:type="dxa"/>
            <w:left w:w="108" w:type="dxa"/>
            <w:bottom w:w="0" w:type="dxa"/>
            <w:right w:w="108" w:type="dxa"/>
          </w:tblCellMar>
        </w:tblPrEx>
        <w:trPr>
          <w:trHeight w:val="939"/>
        </w:trPr>
        <w:tc>
          <w:tcPr>
            <w:tcW w:w="570" w:type="dxa"/>
            <w:vMerge w:val="restart"/>
            <w:tcBorders>
              <w:top w:val="nil"/>
              <w:left w:val="single" w:sz="4" w:space="0" w:color="000000"/>
              <w:bottom w:val="single" w:sz="4" w:space="0" w:color="000000"/>
              <w:right w:val="single" w:sz="4" w:space="0" w:color="000000"/>
            </w:tcBorders>
            <w:noWrap w:val="0"/>
            <w:tcMar>
              <w:top w:w="0" w:type="dxa"/>
              <w:left w:w="105" w:type="dxa"/>
              <w:bottom w:w="0" w:type="dxa"/>
              <w:right w:w="105" w:type="dxa"/>
            </w:tcMar>
            <w:vAlign w:val="top"/>
          </w:tcPr>
          <w:p>
            <w:pPr>
              <w:pStyle w:val="null3"/>
              <w:jc w:val="center"/>
            </w:pPr>
            <w:r>
              <w:rPr>
                <w:sz w:val="24"/>
              </w:rPr>
              <w:t>3</w:t>
            </w:r>
          </w:p>
        </w:tc>
        <w:tc>
          <w:tcPr>
            <w:tcW w:w="1425" w:type="dxa"/>
            <w:vMerge w:val="restart"/>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both"/>
            </w:pPr>
            <w:r>
              <w:rPr>
                <w:sz w:val="24"/>
              </w:rPr>
              <w:t>医疗服务质量（35分）</w:t>
            </w:r>
          </w:p>
        </w:tc>
        <w:tc>
          <w:tcPr>
            <w:tcW w:w="1526"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both"/>
            </w:pPr>
            <w:r>
              <w:rPr>
                <w:sz w:val="24"/>
              </w:rPr>
              <w:t>绿色通道救治</w:t>
            </w:r>
          </w:p>
        </w:tc>
        <w:tc>
          <w:tcPr>
            <w:tcW w:w="4227"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both"/>
            </w:pPr>
            <w:r>
              <w:rPr>
                <w:sz w:val="24"/>
              </w:rPr>
              <w:t>对突发急危重症者及时转运至医院，并提供绿色通道救治，每出现一次未及时转运现象，扣减5分。</w:t>
            </w:r>
          </w:p>
        </w:tc>
        <w:tc>
          <w:tcPr>
            <w:tcW w:w="654"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center"/>
            </w:pPr>
          </w:p>
        </w:tc>
        <w:tc>
          <w:tcPr>
            <w:tcW w:w="855"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tc>
      </w:tr>
      <w:tr>
        <w:tblPrEx>
          <w:tblW w:w="0" w:type="auto"/>
          <w:tblInd w:w="0" w:type="dxa"/>
          <w:tblCellMar>
            <w:top w:w="0" w:type="dxa"/>
            <w:left w:w="108" w:type="dxa"/>
            <w:bottom w:w="0" w:type="dxa"/>
            <w:right w:w="108" w:type="dxa"/>
          </w:tblCellMar>
        </w:tblPrEx>
        <w:trPr>
          <w:trHeight w:val="939"/>
        </w:trPr>
        <w:tc>
          <w:tcPr>
            <w:tcW w:w="570" w:type="dxa"/>
            <w:vMerge/>
            <w:tcBorders>
              <w:top w:val="nil"/>
              <w:left w:val="single" w:sz="4" w:space="0" w:color="000000"/>
              <w:bottom w:val="single" w:sz="4" w:space="0" w:color="000000"/>
              <w:right w:val="single" w:sz="4" w:space="0" w:color="000000"/>
            </w:tcBorders>
            <w:noWrap w:val="0"/>
            <w:vAlign w:val="top"/>
          </w:tcPr>
          <w:p/>
        </w:tc>
        <w:tc>
          <w:tcPr>
            <w:tcW w:w="1425" w:type="dxa"/>
            <w:vMerge/>
            <w:tcBorders>
              <w:top w:val="nil"/>
              <w:left w:val="nil"/>
              <w:bottom w:val="single" w:sz="4" w:space="0" w:color="000000"/>
              <w:right w:val="single" w:sz="4" w:space="0" w:color="000000"/>
            </w:tcBorders>
            <w:noWrap w:val="0"/>
            <w:vAlign w:val="top"/>
          </w:tcPr>
          <w:p/>
        </w:tc>
        <w:tc>
          <w:tcPr>
            <w:tcW w:w="1526"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both"/>
            </w:pPr>
            <w:r>
              <w:rPr>
                <w:sz w:val="24"/>
              </w:rPr>
              <w:t>医疗纠纷或事故</w:t>
            </w:r>
          </w:p>
        </w:tc>
        <w:tc>
          <w:tcPr>
            <w:tcW w:w="4227"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both"/>
            </w:pPr>
            <w:r>
              <w:rPr>
                <w:sz w:val="24"/>
              </w:rPr>
              <w:t>对在押人员的治疗诊治过程中无产生纠纷或医疗事故，每出现一次纠纷或医疗事故，扣减10分。</w:t>
            </w:r>
          </w:p>
        </w:tc>
        <w:tc>
          <w:tcPr>
            <w:tcW w:w="654"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center"/>
            </w:pPr>
          </w:p>
        </w:tc>
        <w:tc>
          <w:tcPr>
            <w:tcW w:w="855"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tc>
      </w:tr>
      <w:tr>
        <w:tblPrEx>
          <w:tblW w:w="0" w:type="auto"/>
          <w:tblInd w:w="0" w:type="dxa"/>
          <w:tblCellMar>
            <w:top w:w="0" w:type="dxa"/>
            <w:left w:w="108" w:type="dxa"/>
            <w:bottom w:w="0" w:type="dxa"/>
            <w:right w:w="108" w:type="dxa"/>
          </w:tblCellMar>
        </w:tblPrEx>
        <w:trPr>
          <w:trHeight w:val="939"/>
        </w:trPr>
        <w:tc>
          <w:tcPr>
            <w:tcW w:w="570" w:type="dxa"/>
            <w:vMerge/>
            <w:tcBorders>
              <w:top w:val="nil"/>
              <w:left w:val="single" w:sz="4" w:space="0" w:color="000000"/>
              <w:bottom w:val="single" w:sz="4" w:space="0" w:color="000000"/>
              <w:right w:val="single" w:sz="4" w:space="0" w:color="000000"/>
            </w:tcBorders>
            <w:noWrap w:val="0"/>
            <w:vAlign w:val="top"/>
          </w:tcPr>
          <w:p/>
        </w:tc>
        <w:tc>
          <w:tcPr>
            <w:tcW w:w="1425" w:type="dxa"/>
            <w:vMerge/>
            <w:tcBorders>
              <w:top w:val="nil"/>
              <w:left w:val="nil"/>
              <w:bottom w:val="single" w:sz="4" w:space="0" w:color="000000"/>
              <w:right w:val="single" w:sz="4" w:space="0" w:color="000000"/>
            </w:tcBorders>
            <w:noWrap w:val="0"/>
            <w:vAlign w:val="top"/>
          </w:tcPr>
          <w:p/>
        </w:tc>
        <w:tc>
          <w:tcPr>
            <w:tcW w:w="1526"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both"/>
            </w:pPr>
            <w:r>
              <w:rPr>
                <w:sz w:val="24"/>
              </w:rPr>
              <w:t>治疗诊治投诉</w:t>
            </w:r>
          </w:p>
        </w:tc>
        <w:tc>
          <w:tcPr>
            <w:tcW w:w="4227"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both"/>
            </w:pPr>
            <w:r>
              <w:rPr>
                <w:sz w:val="24"/>
              </w:rPr>
              <w:t>对被监管人员的治疗诊治过程中未出现被监管人员投诉情况，每出现一次投诉现象，扣减3分。</w:t>
            </w:r>
          </w:p>
        </w:tc>
        <w:tc>
          <w:tcPr>
            <w:tcW w:w="654"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center"/>
            </w:pPr>
          </w:p>
        </w:tc>
        <w:tc>
          <w:tcPr>
            <w:tcW w:w="855"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tc>
      </w:tr>
      <w:tr>
        <w:tblPrEx>
          <w:tblW w:w="0" w:type="auto"/>
          <w:tblInd w:w="0" w:type="dxa"/>
          <w:tblCellMar>
            <w:top w:w="0" w:type="dxa"/>
            <w:left w:w="108" w:type="dxa"/>
            <w:bottom w:w="0" w:type="dxa"/>
            <w:right w:w="108" w:type="dxa"/>
          </w:tblCellMar>
        </w:tblPrEx>
        <w:trPr>
          <w:trHeight w:val="1508"/>
        </w:trPr>
        <w:tc>
          <w:tcPr>
            <w:tcW w:w="570" w:type="dxa"/>
            <w:vMerge w:val="restart"/>
            <w:tcBorders>
              <w:top w:val="nil"/>
              <w:left w:val="single" w:sz="4" w:space="0" w:color="000000"/>
              <w:bottom w:val="nil"/>
              <w:right w:val="single" w:sz="4" w:space="0" w:color="000000"/>
            </w:tcBorders>
            <w:noWrap w:val="0"/>
            <w:tcMar>
              <w:top w:w="0" w:type="dxa"/>
              <w:left w:w="105" w:type="dxa"/>
              <w:bottom w:w="0" w:type="dxa"/>
              <w:right w:w="105" w:type="dxa"/>
            </w:tcMar>
            <w:vAlign w:val="top"/>
          </w:tcPr>
          <w:p>
            <w:pPr>
              <w:pStyle w:val="null3"/>
              <w:jc w:val="center"/>
            </w:pPr>
            <w:r>
              <w:rPr>
                <w:sz w:val="24"/>
              </w:rPr>
              <w:t>4</w:t>
            </w:r>
          </w:p>
        </w:tc>
        <w:tc>
          <w:tcPr>
            <w:tcW w:w="1425" w:type="dxa"/>
            <w:vMerge w:val="restart"/>
            <w:tcBorders>
              <w:top w:val="nil"/>
              <w:left w:val="nil"/>
              <w:bottom w:val="nil"/>
              <w:right w:val="single" w:sz="4" w:space="0" w:color="000000"/>
            </w:tcBorders>
            <w:noWrap w:val="0"/>
            <w:tcMar>
              <w:top w:w="0" w:type="dxa"/>
              <w:left w:w="105" w:type="dxa"/>
              <w:bottom w:w="0" w:type="dxa"/>
              <w:right w:w="105" w:type="dxa"/>
            </w:tcMar>
            <w:vAlign w:val="top"/>
          </w:tcPr>
          <w:p>
            <w:pPr>
              <w:pStyle w:val="null3"/>
              <w:jc w:val="both"/>
            </w:pPr>
            <w:r>
              <w:rPr>
                <w:sz w:val="24"/>
              </w:rPr>
              <w:t>医疗药品及耗材使用（10分）</w:t>
            </w:r>
          </w:p>
        </w:tc>
        <w:tc>
          <w:tcPr>
            <w:tcW w:w="1526"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both"/>
            </w:pPr>
            <w:r>
              <w:rPr>
                <w:sz w:val="24"/>
              </w:rPr>
              <w:t>用药用材原则</w:t>
            </w:r>
          </w:p>
        </w:tc>
        <w:tc>
          <w:tcPr>
            <w:tcW w:w="4227"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pPr>
            <w:r>
              <w:rPr>
                <w:sz w:val="24"/>
              </w:rPr>
              <w:t>派驻医生开具的医疗用药遵循医疗用药用材的原则——“确保安全，尊重医效；廉价为先，国产为主；节省开支，维护权益”，每发现一次未遵循医疗用药用材的原则，扣减3分。</w:t>
            </w:r>
          </w:p>
        </w:tc>
        <w:tc>
          <w:tcPr>
            <w:tcW w:w="654"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both"/>
            </w:pPr>
          </w:p>
        </w:tc>
        <w:tc>
          <w:tcPr>
            <w:tcW w:w="855"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tc>
      </w:tr>
      <w:tr>
        <w:tblPrEx>
          <w:tblW w:w="0" w:type="auto"/>
          <w:tblInd w:w="0" w:type="dxa"/>
          <w:tblCellMar>
            <w:top w:w="0" w:type="dxa"/>
            <w:left w:w="108" w:type="dxa"/>
            <w:bottom w:w="0" w:type="dxa"/>
            <w:right w:w="108" w:type="dxa"/>
          </w:tblCellMar>
        </w:tblPrEx>
        <w:trPr>
          <w:trHeight w:val="2162"/>
        </w:trPr>
        <w:tc>
          <w:tcPr>
            <w:tcW w:w="570" w:type="dxa"/>
            <w:vMerge/>
            <w:tcBorders>
              <w:top w:val="nil"/>
              <w:left w:val="single" w:sz="4" w:space="0" w:color="000000"/>
              <w:bottom w:val="nil"/>
              <w:right w:val="single" w:sz="4" w:space="0" w:color="000000"/>
            </w:tcBorders>
            <w:noWrap w:val="0"/>
            <w:vAlign w:val="top"/>
          </w:tcPr>
          <w:p/>
        </w:tc>
        <w:tc>
          <w:tcPr>
            <w:tcW w:w="1425" w:type="dxa"/>
            <w:vMerge/>
            <w:tcBorders>
              <w:top w:val="nil"/>
              <w:left w:val="nil"/>
              <w:bottom w:val="nil"/>
              <w:right w:val="single" w:sz="4" w:space="0" w:color="000000"/>
            </w:tcBorders>
            <w:noWrap w:val="0"/>
            <w:vAlign w:val="top"/>
          </w:tcPr>
          <w:p/>
        </w:tc>
        <w:tc>
          <w:tcPr>
            <w:tcW w:w="1526"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both"/>
            </w:pPr>
            <w:r>
              <w:rPr>
                <w:sz w:val="24"/>
              </w:rPr>
              <w:t>药品、耗材质量</w:t>
            </w:r>
          </w:p>
        </w:tc>
        <w:tc>
          <w:tcPr>
            <w:tcW w:w="4227"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pPr>
            <w:r>
              <w:rPr>
                <w:sz w:val="24"/>
              </w:rPr>
              <w:t>开具日常药品清单有严格参考</w:t>
            </w:r>
            <w:r>
              <w:rPr>
                <w:rFonts w:hint="eastAsia"/>
                <w:sz w:val="24"/>
                <w:lang w:val="en-US" w:eastAsia="zh-CN"/>
              </w:rPr>
              <w:t>深圳</w:t>
            </w:r>
            <w:r>
              <w:rPr>
                <w:sz w:val="24"/>
              </w:rPr>
              <w:t>市医保基本目录，并保证所进药品质量，每发现一次药品质量问题，扣减3分。因药品和耗材质量问题，导致在押人员不适或医疗事故等，每出现一次因药品和耗材质量问题导致被监管人员不适或医疗事故，扣减5分。</w:t>
            </w:r>
          </w:p>
        </w:tc>
        <w:tc>
          <w:tcPr>
            <w:tcW w:w="654"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both"/>
            </w:pPr>
          </w:p>
        </w:tc>
        <w:tc>
          <w:tcPr>
            <w:tcW w:w="855"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tc>
      </w:tr>
      <w:tr>
        <w:tblPrEx>
          <w:tblW w:w="0" w:type="auto"/>
          <w:tblInd w:w="0" w:type="dxa"/>
          <w:tblCellMar>
            <w:top w:w="0" w:type="dxa"/>
            <w:left w:w="108" w:type="dxa"/>
            <w:bottom w:w="0" w:type="dxa"/>
            <w:right w:w="108" w:type="dxa"/>
          </w:tblCellMar>
        </w:tblPrEx>
        <w:trPr>
          <w:trHeight w:val="1249"/>
        </w:trPr>
        <w:tc>
          <w:tcPr>
            <w:tcW w:w="570" w:type="dxa"/>
            <w:vMerge/>
            <w:tcBorders>
              <w:top w:val="nil"/>
              <w:left w:val="single" w:sz="4" w:space="0" w:color="000000"/>
              <w:bottom w:val="nil"/>
              <w:right w:val="single" w:sz="4" w:space="0" w:color="000000"/>
            </w:tcBorders>
            <w:noWrap w:val="0"/>
            <w:vAlign w:val="top"/>
          </w:tcPr>
          <w:p/>
        </w:tc>
        <w:tc>
          <w:tcPr>
            <w:tcW w:w="1425" w:type="dxa"/>
            <w:vMerge/>
            <w:tcBorders>
              <w:top w:val="nil"/>
              <w:left w:val="nil"/>
              <w:bottom w:val="nil"/>
              <w:right w:val="single" w:sz="4" w:space="0" w:color="000000"/>
            </w:tcBorders>
            <w:noWrap w:val="0"/>
            <w:vAlign w:val="top"/>
          </w:tcPr>
          <w:p/>
        </w:tc>
        <w:tc>
          <w:tcPr>
            <w:tcW w:w="1526"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both"/>
            </w:pPr>
            <w:r>
              <w:rPr>
                <w:sz w:val="24"/>
              </w:rPr>
              <w:t>药品、耗材有效期</w:t>
            </w:r>
          </w:p>
        </w:tc>
        <w:tc>
          <w:tcPr>
            <w:tcW w:w="4227"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pPr>
            <w:r>
              <w:rPr>
                <w:sz w:val="24"/>
              </w:rPr>
              <w:t>医疗药品和耗材均在有效期，未出现过期使用的情况，每出现一次使用过期的医疗药品和耗材，扣减5分。</w:t>
            </w:r>
          </w:p>
        </w:tc>
        <w:tc>
          <w:tcPr>
            <w:tcW w:w="654"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both"/>
            </w:pPr>
          </w:p>
        </w:tc>
        <w:tc>
          <w:tcPr>
            <w:tcW w:w="855" w:type="dxa"/>
            <w:tcBorders>
              <w:top w:val="nil"/>
              <w:left w:val="nil"/>
              <w:bottom w:val="single" w:sz="4" w:space="0" w:color="000000"/>
              <w:right w:val="single" w:sz="4" w:space="0" w:color="000000"/>
            </w:tcBorders>
            <w:noWrap w:val="0"/>
            <w:tcMar>
              <w:top w:w="0" w:type="dxa"/>
              <w:left w:w="105" w:type="dxa"/>
              <w:bottom w:w="0" w:type="dxa"/>
              <w:right w:w="105" w:type="dxa"/>
            </w:tcMar>
            <w:vAlign w:val="top"/>
          </w:tcPr>
          <w:p/>
        </w:tc>
      </w:tr>
      <w:tr>
        <w:tblPrEx>
          <w:tblW w:w="0" w:type="auto"/>
          <w:tblInd w:w="0" w:type="dxa"/>
          <w:tblCellMar>
            <w:top w:w="0" w:type="dxa"/>
            <w:left w:w="108" w:type="dxa"/>
            <w:bottom w:w="0" w:type="dxa"/>
            <w:right w:w="108" w:type="dxa"/>
          </w:tblCellMar>
        </w:tblPrEx>
        <w:trPr>
          <w:trHeight w:val="330"/>
        </w:trPr>
        <w:tc>
          <w:tcPr>
            <w:tcW w:w="7748" w:type="dxa"/>
            <w:gridSpan w:val="4"/>
            <w:tcBorders>
              <w:top w:val="nil"/>
              <w:left w:val="single" w:sz="4" w:space="0" w:color="000000"/>
              <w:bottom w:val="single" w:sz="4" w:space="0" w:color="000000"/>
              <w:right w:val="single" w:sz="4" w:space="0" w:color="000000"/>
            </w:tcBorders>
            <w:noWrap w:val="0"/>
            <w:tcMar>
              <w:top w:w="0" w:type="dxa"/>
              <w:left w:w="105" w:type="dxa"/>
              <w:bottom w:w="0" w:type="dxa"/>
              <w:right w:w="105" w:type="dxa"/>
            </w:tcMar>
            <w:vAlign w:val="top"/>
          </w:tcPr>
          <w:p>
            <w:pPr>
              <w:pStyle w:val="null3"/>
              <w:jc w:val="right"/>
            </w:pPr>
            <w:r>
              <w:rPr>
                <w:sz w:val="24"/>
              </w:rPr>
              <w:t>考核总得分:</w:t>
            </w:r>
          </w:p>
        </w:tc>
        <w:tc>
          <w:tcPr>
            <w:tcW w:w="1509" w:type="dxa"/>
            <w:gridSpan w:val="2"/>
            <w:tcBorders>
              <w:top w:val="nil"/>
              <w:left w:val="nil"/>
              <w:bottom w:val="single" w:sz="4" w:space="0" w:color="000000"/>
              <w:right w:val="single" w:sz="4" w:space="0" w:color="000000"/>
            </w:tcBorders>
            <w:noWrap w:val="0"/>
            <w:tcMar>
              <w:top w:w="0" w:type="dxa"/>
              <w:left w:w="105" w:type="dxa"/>
              <w:bottom w:w="0" w:type="dxa"/>
              <w:right w:w="105" w:type="dxa"/>
            </w:tcMar>
            <w:vAlign w:val="top"/>
          </w:tcPr>
          <w:p>
            <w:pPr>
              <w:pStyle w:val="null3"/>
              <w:jc w:val="both"/>
            </w:pPr>
          </w:p>
        </w:tc>
      </w:tr>
    </w:tbl>
    <w:p>
      <w:pPr>
        <w:pStyle w:val="null3"/>
        <w:jc w:val="both"/>
      </w:pPr>
      <w:r>
        <w:rPr>
          <w:color w:val="000000"/>
          <w:sz w:val="24"/>
        </w:rPr>
        <w:t>依据考核结果作如下处理：</w:t>
      </w:r>
    </w:p>
    <w:p>
      <w:pPr>
        <w:pStyle w:val="null3"/>
        <w:ind w:firstLine="420"/>
        <w:jc w:val="both"/>
      </w:pPr>
      <w:r>
        <w:rPr>
          <w:sz w:val="24"/>
        </w:rPr>
        <w:t>（1）考核满分为100分，</w:t>
      </w:r>
      <w:r>
        <w:rPr>
          <w:rFonts w:hint="eastAsia"/>
          <w:sz w:val="24"/>
          <w:lang w:val="en-US" w:eastAsia="zh-CN"/>
        </w:rPr>
        <w:t>8</w:t>
      </w:r>
      <w:r>
        <w:rPr>
          <w:sz w:val="24"/>
        </w:rPr>
        <w:t>0分（含）以上为优秀，全额支付</w:t>
      </w:r>
      <w:r>
        <w:rPr>
          <w:rFonts w:hint="eastAsia"/>
          <w:sz w:val="24"/>
          <w:lang w:val="en-US" w:eastAsia="zh-CN"/>
        </w:rPr>
        <w:t>该</w:t>
      </w:r>
      <w:r>
        <w:rPr>
          <w:sz w:val="24"/>
        </w:rPr>
        <w:t>月监所医疗卫生服务费用；</w:t>
      </w:r>
    </w:p>
    <w:p>
      <w:pPr>
        <w:pStyle w:val="null3"/>
        <w:ind w:firstLine="420"/>
        <w:jc w:val="both"/>
      </w:pPr>
      <w:r>
        <w:rPr>
          <w:sz w:val="24"/>
        </w:rPr>
        <w:t>（2）考核结果为</w:t>
      </w:r>
      <w:r>
        <w:rPr>
          <w:rFonts w:hint="eastAsia"/>
          <w:sz w:val="24"/>
          <w:lang w:val="en-US" w:eastAsia="zh-CN"/>
        </w:rPr>
        <w:t>7</w:t>
      </w:r>
      <w:r>
        <w:rPr>
          <w:sz w:val="24"/>
        </w:rPr>
        <w:t>0-</w:t>
      </w:r>
      <w:r>
        <w:rPr>
          <w:rFonts w:hint="eastAsia"/>
          <w:sz w:val="24"/>
          <w:lang w:val="en-US" w:eastAsia="zh-CN"/>
        </w:rPr>
        <w:t>7</w:t>
      </w:r>
      <w:r>
        <w:rPr>
          <w:sz w:val="24"/>
        </w:rPr>
        <w:t>9分，该月监所医疗卫生服务实际支付费用=该月监所医疗卫生服务费用*95%；</w:t>
      </w:r>
    </w:p>
    <w:p>
      <w:pPr>
        <w:pStyle w:val="null3"/>
        <w:ind w:firstLine="420"/>
        <w:jc w:val="both"/>
      </w:pPr>
      <w:r>
        <w:rPr>
          <w:sz w:val="24"/>
        </w:rPr>
        <w:t>（3）考核结果为</w:t>
      </w:r>
      <w:r>
        <w:rPr>
          <w:rFonts w:hint="eastAsia"/>
          <w:sz w:val="24"/>
          <w:lang w:val="en-US" w:eastAsia="zh-CN"/>
        </w:rPr>
        <w:t>6</w:t>
      </w:r>
      <w:r>
        <w:rPr>
          <w:sz w:val="24"/>
        </w:rPr>
        <w:t>0-</w:t>
      </w:r>
      <w:r>
        <w:rPr>
          <w:rFonts w:hint="eastAsia"/>
          <w:sz w:val="24"/>
          <w:lang w:val="en-US" w:eastAsia="zh-CN"/>
        </w:rPr>
        <w:t>6</w:t>
      </w:r>
      <w:r>
        <w:rPr>
          <w:sz w:val="24"/>
        </w:rPr>
        <w:t>9分，该月监所医疗卫生服务实际支付费用=该月监所医疗卫生服务费用*90%；</w:t>
      </w:r>
    </w:p>
    <w:p>
      <w:pPr>
        <w:pStyle w:val="null3"/>
        <w:ind w:firstLine="420"/>
        <w:jc w:val="both"/>
      </w:pPr>
      <w:r>
        <w:rPr>
          <w:sz w:val="24"/>
        </w:rPr>
        <w:t>（4）低于</w:t>
      </w:r>
      <w:r>
        <w:rPr>
          <w:rFonts w:hint="eastAsia"/>
          <w:sz w:val="24"/>
          <w:lang w:val="en-US" w:eastAsia="zh-CN"/>
        </w:rPr>
        <w:t>6</w:t>
      </w:r>
      <w:r>
        <w:rPr>
          <w:sz w:val="24"/>
        </w:rPr>
        <w:t>0分，该月监所医疗卫生服务实际支付费用=该月监所医疗卫生服务费用*85%；</w:t>
      </w:r>
    </w:p>
    <w:p>
      <w:pPr>
        <w:pStyle w:val="null3"/>
        <w:ind w:firstLine="420"/>
        <w:jc w:val="both"/>
      </w:pPr>
      <w:r>
        <w:rPr>
          <w:sz w:val="24"/>
        </w:rPr>
        <w:t>（5）服务期内考核累计超过2次低于</w:t>
      </w:r>
      <w:r>
        <w:rPr>
          <w:rFonts w:hint="eastAsia"/>
          <w:sz w:val="24"/>
          <w:lang w:val="en-US" w:eastAsia="zh-CN"/>
        </w:rPr>
        <w:t>6</w:t>
      </w:r>
      <w:r>
        <w:rPr>
          <w:sz w:val="24"/>
        </w:rPr>
        <w:t>0分的，甲方有权终止合同，由此造成的甲方经济损失由乙方承担；</w:t>
      </w:r>
    </w:p>
    <w:p>
      <w:pPr>
        <w:pStyle w:val="null3"/>
        <w:ind w:firstLine="480"/>
        <w:jc w:val="both"/>
      </w:pPr>
      <w:r>
        <w:rPr>
          <w:sz w:val="24"/>
        </w:rPr>
        <w:t>（6）</w:t>
      </w:r>
      <w:r>
        <w:rPr>
          <w:rFonts w:hint="eastAsia"/>
          <w:sz w:val="24"/>
          <w:lang w:val="en-US" w:eastAsia="zh-CN"/>
        </w:rPr>
        <w:t>甲方</w:t>
      </w:r>
      <w:r>
        <w:rPr>
          <w:sz w:val="24"/>
        </w:rPr>
        <w:t>对乙方提供的医疗卫生服务进行考核，每月出具一份考核表。</w:t>
      </w:r>
    </w:p>
    <w:p>
      <w:pPr>
        <w:widowControl/>
        <w:jc w:val="left"/>
        <w:rPr>
          <w:rFonts w:ascii="宋体" w:hAnsi="宋体"/>
          <w:szCs w:val="21"/>
        </w:rPr>
      </w:pPr>
      <w:r>
        <w:rPr>
          <w:rFonts w:ascii="宋体" w:hAnsi="宋体"/>
          <w:szCs w:val="21"/>
        </w:rPr>
        <w:br w:type="page"/>
      </w:r>
    </w:p>
    <w:p>
      <w:pPr>
        <w:keepNext/>
        <w:keepLines/>
        <w:adjustRightInd w:val="0"/>
        <w:spacing w:before="260" w:after="260"/>
        <w:jc w:val="center"/>
        <w:textAlignment w:val="baseline"/>
        <w:outlineLvl w:val="1"/>
        <w:rPr>
          <w:rFonts w:ascii="宋体" w:hAnsi="宋体"/>
          <w:b/>
          <w:bCs/>
          <w:sz w:val="24"/>
          <w:szCs w:val="20"/>
        </w:rPr>
      </w:pPr>
      <w:r>
        <w:rPr>
          <w:rFonts w:ascii="宋体" w:hAnsi="宋体" w:hint="eastAsia"/>
          <w:b/>
          <w:bCs/>
          <w:sz w:val="24"/>
          <w:szCs w:val="20"/>
        </w:rPr>
        <w:t>第三章</w:t>
      </w:r>
      <w:r>
        <w:rPr>
          <w:rFonts w:ascii="宋体" w:hAnsi="宋体"/>
          <w:b/>
          <w:bCs/>
          <w:sz w:val="24"/>
          <w:szCs w:val="20"/>
        </w:rPr>
        <w:t xml:space="preserve"> </w:t>
      </w:r>
      <w:r>
        <w:rPr>
          <w:rFonts w:ascii="宋体" w:hAnsi="宋体" w:hint="eastAsia"/>
          <w:b/>
          <w:bCs/>
          <w:sz w:val="24"/>
          <w:szCs w:val="20"/>
        </w:rPr>
        <w:t xml:space="preserve"> 投标文件格式、附件</w:t>
      </w:r>
    </w:p>
    <w:p>
      <w:pPr>
        <w:rPr>
          <w:rFonts w:ascii="Times New Roman" w:hAnsi="Times New Roman"/>
          <w:b/>
          <w:bCs/>
          <w:sz w:val="24"/>
          <w:szCs w:val="32"/>
        </w:rPr>
      </w:pPr>
      <w:r>
        <w:rPr>
          <w:rFonts w:ascii="Times New Roman" w:hAnsi="Times New Roman" w:hint="eastAsia"/>
          <w:b/>
          <w:bCs/>
          <w:sz w:val="24"/>
          <w:szCs w:val="32"/>
        </w:rPr>
        <w:t>特别提醒：</w:t>
      </w:r>
    </w:p>
    <w:p>
      <w:pPr>
        <w:rPr>
          <w:rFonts w:ascii="Times New Roman" w:hAnsi="Times New Roman"/>
          <w:b/>
          <w:bCs/>
          <w:sz w:val="24"/>
          <w:szCs w:val="32"/>
        </w:rPr>
      </w:pPr>
    </w:p>
    <w:p>
      <w:pPr>
        <w:widowControl/>
        <w:ind w:firstLine="420" w:firstLineChars="200"/>
        <w:jc w:val="left"/>
        <w:rPr>
          <w:rFonts w:ascii="仿宋_GB2312" w:eastAsia="仿宋_GB2312" w:hAnsi="Times New Roman"/>
          <w:kern w:val="0"/>
          <w:sz w:val="24"/>
          <w:szCs w:val="24"/>
        </w:rPr>
      </w:pPr>
      <w:r>
        <w:rPr>
          <w:rFonts w:ascii="仿宋_GB2312" w:eastAsia="仿宋_GB2312" w:hAnsi="Times New Roman" w:hint="eastAsia"/>
          <w:b/>
          <w:kern w:val="0"/>
          <w:sz w:val="24"/>
          <w:szCs w:val="24"/>
        </w:rPr>
        <w:t>投标文件正文将对外公开，投标文件附件不公开。</w:t>
      </w:r>
      <w:r>
        <w:rPr>
          <w:rFonts w:ascii="仿宋_GB2312" w:eastAsia="仿宋_GB2312" w:hAnsi="Times New Roman" w:hint="eastAsia"/>
          <w:kern w:val="0"/>
          <w:sz w:val="24"/>
          <w:szCs w:val="24"/>
        </w:rPr>
        <w:t>投标人在编辑投标文件时，在投标文件目录中属于本节点内容的必须在本节点中填写，填写到其他节点或附件的将可能导致投标无效，一切后果由供应商自行承担。</w:t>
      </w:r>
    </w:p>
    <w:p>
      <w:pPr>
        <w:widowControl/>
        <w:jc w:val="left"/>
        <w:rPr>
          <w:rFonts w:ascii="仿宋_GB2312" w:eastAsia="仿宋_GB2312" w:hAnsi="Times New Roman"/>
          <w:kern w:val="0"/>
          <w:sz w:val="24"/>
          <w:szCs w:val="24"/>
        </w:rPr>
      </w:pPr>
      <w:r>
        <w:rPr>
          <w:rFonts w:ascii="仿宋_GB2312" w:eastAsia="仿宋_GB2312" w:hAnsi="Times New Roman" w:hint="eastAsia"/>
          <w:kern w:val="0"/>
          <w:sz w:val="24"/>
          <w:szCs w:val="24"/>
        </w:rPr>
        <w:t xml:space="preserve">    投标人应按招标文件规定的“投标文件组成”编制投标文件正文（信息公开部分）和投标文件附件（信息不公开部分），举例如下图：</w:t>
      </w:r>
    </w:p>
    <w:p>
      <w:pPr>
        <w:widowControl/>
        <w:jc w:val="center"/>
        <w:rPr>
          <w:rFonts w:ascii="宋体" w:eastAsia="宋体" w:hAnsi="宋体" w:cs="宋体"/>
          <w:kern w:val="0"/>
          <w:sz w:val="24"/>
          <w:szCs w:val="24"/>
          <w:highlight w:val="green"/>
        </w:rPr>
      </w:pPr>
      <w:r>
        <w:rPr>
          <w:rFonts w:ascii="仿宋_GB2312" w:eastAsia="仿宋_GB2312" w:hAnsi="Times New Roman"/>
          <w:kern w:val="0"/>
          <w:sz w:val="24"/>
          <w:szCs w:val="24"/>
          <w:highlight w:val="green"/>
        </w:rPr>
        <w:drawing>
          <wp:inline distT="0" distB="0" distL="114300" distR="114300">
            <wp:extent cx="5278755" cy="4126230"/>
            <wp:effectExtent l="0" t="0" r="17145" b="7620"/>
            <wp:docPr id="2" name="图片 5"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图形用户界面, 应用程序&#10;&#10;描述已自动生成"/>
                    <pic:cNvPicPr>
                      <a:picLocks noChangeAspect="1"/>
                    </pic:cNvPicPr>
                  </pic:nvPicPr>
                  <pic:blipFill>
                    <a:blip xmlns:r="http://schemas.openxmlformats.org/officeDocument/2006/relationships" r:embed="rId6"/>
                    <a:stretch>
                      <a:fillRect/>
                    </a:stretch>
                  </pic:blipFill>
                  <pic:spPr>
                    <a:xfrm>
                      <a:off x="0" y="0"/>
                      <a:ext cx="5278755" cy="4126230"/>
                    </a:xfrm>
                    <a:prstGeom prst="rect">
                      <a:avLst/>
                    </a:prstGeom>
                    <a:noFill/>
                    <a:ln>
                      <a:noFill/>
                    </a:ln>
                  </pic:spPr>
                </pic:pic>
              </a:graphicData>
            </a:graphic>
          </wp:inline>
        </w:drawing>
      </w:r>
    </w:p>
    <w:p>
      <w:pPr>
        <w:widowControl/>
        <w:jc w:val="center"/>
        <w:rPr>
          <w:rFonts w:ascii="仿宋_GB2312" w:eastAsia="仿宋_GB2312" w:hAnsi="Times New Roman"/>
          <w:kern w:val="0"/>
          <w:sz w:val="24"/>
          <w:szCs w:val="24"/>
          <w:highlight w:val="green"/>
        </w:rPr>
      </w:pPr>
    </w:p>
    <w:p>
      <w:pPr>
        <w:widowControl/>
        <w:ind w:firstLine="420" w:firstLineChars="200"/>
        <w:jc w:val="left"/>
        <w:rPr>
          <w:rFonts w:ascii="仿宋_GB2312" w:eastAsia="仿宋_GB2312" w:hAnsi="Times New Roman"/>
          <w:b/>
          <w:kern w:val="0"/>
          <w:sz w:val="24"/>
          <w:szCs w:val="24"/>
        </w:rPr>
      </w:pPr>
      <w:bookmarkStart w:id="9" w:name="_Hlk72257167"/>
      <w:r>
        <w:rPr>
          <w:rFonts w:ascii="仿宋_GB2312" w:eastAsia="仿宋_GB2312" w:hAnsi="Times New Roman" w:hint="eastAsia"/>
          <w:kern w:val="0"/>
          <w:sz w:val="24"/>
          <w:szCs w:val="24"/>
        </w:rPr>
        <w:t>采购代理机构公布投标文件正文（信息公开部分）时为计算机截取信息自动公布，</w:t>
      </w:r>
      <w:r>
        <w:rPr>
          <w:rFonts w:ascii="仿宋_GB2312" w:eastAsia="仿宋_GB2312" w:hAnsi="Times New Roman" w:hint="eastAsia"/>
          <w:b/>
          <w:bCs/>
          <w:kern w:val="0"/>
          <w:sz w:val="24"/>
          <w:szCs w:val="24"/>
        </w:rPr>
        <w:t>如投标人误将涉及个人隐私或其他重要信息放入投标文件正文，相关后果由投标人自负；</w:t>
      </w:r>
      <w:r>
        <w:rPr>
          <w:rFonts w:ascii="仿宋_GB2312" w:eastAsia="仿宋_GB2312" w:hAnsi="Times New Roman" w:hint="eastAsia"/>
          <w:b/>
          <w:kern w:val="0"/>
          <w:sz w:val="24"/>
          <w:szCs w:val="24"/>
        </w:rPr>
        <w:t>如投标人将必须放于投标文件正文（信息公开部分）的内容放入投标文件附件（信息不公开部分），将作投标无效处理。</w:t>
      </w:r>
    </w:p>
    <w:p>
      <w:pPr>
        <w:rPr>
          <w:rFonts w:ascii="仿宋_GB2312" w:eastAsia="仿宋_GB2312" w:hAnsi="Times New Roman"/>
          <w:sz w:val="24"/>
          <w:szCs w:val="24"/>
        </w:rPr>
      </w:pPr>
      <w:bookmarkEnd w:id="9"/>
    </w:p>
    <w:p>
      <w:pPr>
        <w:rPr>
          <w:rFonts w:ascii="宋体" w:hAnsi="宋体"/>
          <w:sz w:val="24"/>
        </w:rPr>
      </w:pPr>
      <w:r>
        <w:rPr>
          <w:rFonts w:ascii="宋体" w:hAnsi="宋体" w:hint="eastAsia"/>
          <w:sz w:val="24"/>
        </w:rPr>
        <w:t>投标文件组成：</w:t>
      </w:r>
    </w:p>
    <w:p>
      <w:pPr>
        <w:ind w:firstLine="424" w:firstLineChars="202"/>
        <w:rPr>
          <w:rFonts w:ascii="宋体" w:hAnsi="宋体"/>
          <w:sz w:val="24"/>
        </w:rPr>
      </w:pPr>
      <w:r>
        <w:rPr>
          <w:rFonts w:ascii="宋体" w:hAnsi="宋体" w:hint="eastAsia"/>
        </w:rPr>
        <w:t>1.</w:t>
      </w:r>
      <w:r>
        <w:rPr>
          <w:rFonts w:ascii="宋体" w:hAnsi="宋体" w:hint="eastAsia"/>
          <w:b/>
        </w:rPr>
        <w:t>投标文件正文</w:t>
      </w:r>
      <w:r>
        <w:rPr>
          <w:rFonts w:ascii="宋体" w:hAnsi="宋体" w:hint="eastAsia"/>
          <w:b/>
          <w:szCs w:val="21"/>
        </w:rPr>
        <w:t>（信息公开部分）</w:t>
      </w:r>
      <w:r>
        <w:rPr>
          <w:rFonts w:ascii="宋体" w:hAnsi="宋体" w:hint="eastAsia"/>
        </w:rPr>
        <w:t>，主要</w:t>
      </w:r>
      <w:r>
        <w:rPr>
          <w:rFonts w:ascii="宋体" w:hAnsi="宋体" w:hint="eastAsia"/>
          <w:szCs w:val="21"/>
        </w:rPr>
        <w:t>包括以下内容：</w:t>
      </w:r>
    </w:p>
    <w:p>
      <w:pPr>
        <w:spacing w:before="78" w:beforeLines="25" w:after="78" w:afterLines="25"/>
        <w:ind w:firstLine="991" w:firstLineChars="472"/>
        <w:rPr>
          <w:rFonts w:ascii="宋体" w:hAnsi="宋体"/>
          <w:szCs w:val="21"/>
        </w:rPr>
      </w:pPr>
      <w:r>
        <w:rPr>
          <w:rFonts w:ascii="宋体" w:hAnsi="宋体" w:hint="eastAsia"/>
          <w:szCs w:val="21"/>
        </w:rPr>
        <w:t>（1）投标函</w:t>
      </w:r>
    </w:p>
    <w:p>
      <w:pPr>
        <w:spacing w:before="78" w:beforeLines="25" w:after="78" w:afterLines="25"/>
        <w:ind w:firstLine="991" w:firstLineChars="472"/>
        <w:rPr>
          <w:rFonts w:ascii="宋体" w:hAnsi="宋体"/>
          <w:szCs w:val="21"/>
        </w:rPr>
      </w:pPr>
      <w:r>
        <w:rPr>
          <w:rFonts w:ascii="宋体" w:hAnsi="宋体" w:hint="eastAsia"/>
          <w:szCs w:val="21"/>
        </w:rPr>
        <w:t>（2）资格响应文件</w:t>
      </w:r>
    </w:p>
    <w:p>
      <w:pPr>
        <w:spacing w:before="78" w:beforeLines="25" w:after="78" w:afterLines="25"/>
        <w:ind w:firstLine="991" w:firstLineChars="472"/>
        <w:rPr>
          <w:rFonts w:ascii="宋体" w:hAnsi="宋体"/>
          <w:szCs w:val="21"/>
        </w:rPr>
      </w:pPr>
      <w:r>
        <w:rPr>
          <w:rFonts w:ascii="宋体" w:hAnsi="宋体" w:hint="eastAsia"/>
          <w:szCs w:val="21"/>
        </w:rPr>
        <w:t>（3）投标人情况介绍</w:t>
      </w:r>
    </w:p>
    <w:p>
      <w:pPr>
        <w:spacing w:before="78" w:beforeLines="25" w:after="78" w:afterLines="25"/>
        <w:ind w:firstLine="991" w:firstLineChars="472"/>
        <w:rPr>
          <w:rFonts w:ascii="宋体" w:hAnsi="宋体" w:hint="eastAsia"/>
          <w:szCs w:val="21"/>
        </w:rPr>
      </w:pPr>
      <w:r>
        <w:rPr>
          <w:rFonts w:ascii="宋体" w:hAnsi="宋体" w:hint="eastAsia"/>
          <w:szCs w:val="21"/>
        </w:rPr>
        <w:t>（4）中小企业声明函等符合政府采购扶持政策的证明材料</w:t>
      </w:r>
    </w:p>
    <w:p>
      <w:pPr>
        <w:rPr>
          <w:rFonts w:ascii="宋体" w:hAnsi="宋体"/>
          <w:sz w:val="24"/>
          <w:szCs w:val="24"/>
        </w:rPr>
      </w:pPr>
    </w:p>
    <w:p>
      <w:pPr>
        <w:ind w:firstLine="424" w:firstLineChars="202"/>
        <w:rPr>
          <w:rFonts w:ascii="宋体" w:hAnsi="宋体"/>
          <w:szCs w:val="21"/>
        </w:rPr>
      </w:pPr>
    </w:p>
    <w:p>
      <w:pPr>
        <w:ind w:firstLine="424" w:firstLineChars="202"/>
        <w:rPr>
          <w:rFonts w:ascii="宋体" w:hAnsi="宋体"/>
          <w:szCs w:val="21"/>
        </w:rPr>
      </w:pPr>
      <w:r>
        <w:rPr>
          <w:rFonts w:ascii="宋体" w:hAnsi="宋体" w:hint="eastAsia"/>
          <w:szCs w:val="21"/>
        </w:rPr>
        <w:t>2.</w:t>
      </w:r>
      <w:r>
        <w:rPr>
          <w:rFonts w:ascii="宋体" w:hAnsi="宋体" w:hint="eastAsia"/>
          <w:b/>
          <w:szCs w:val="21"/>
        </w:rPr>
        <w:t>投标文件附件（信息不公开部分）</w:t>
      </w:r>
      <w:r>
        <w:rPr>
          <w:rFonts w:ascii="宋体" w:hAnsi="宋体" w:hint="eastAsia"/>
          <w:szCs w:val="21"/>
        </w:rPr>
        <w:t>，主要包括以下内容：</w:t>
      </w:r>
    </w:p>
    <w:p>
      <w:pPr>
        <w:spacing w:before="78" w:beforeLines="25" w:after="78" w:afterLines="25"/>
        <w:ind w:firstLine="991" w:firstLineChars="472"/>
        <w:rPr>
          <w:rFonts w:ascii="宋体" w:hAnsi="宋体"/>
          <w:szCs w:val="21"/>
        </w:rPr>
      </w:pPr>
      <w:r>
        <w:rPr>
          <w:rFonts w:ascii="宋体" w:hAnsi="宋体" w:hint="eastAsia"/>
          <w:szCs w:val="21"/>
        </w:rPr>
        <w:t>（</w:t>
      </w:r>
      <w:r>
        <w:rPr>
          <w:rFonts w:ascii="宋体" w:hAnsi="宋体" w:hint="eastAsia"/>
          <w:szCs w:val="21"/>
          <w:lang w:val="en-US" w:eastAsia="zh-CN"/>
        </w:rPr>
        <w:t>1</w:t>
      </w:r>
      <w:r>
        <w:rPr>
          <w:rFonts w:ascii="宋体" w:hAnsi="宋体" w:hint="eastAsia"/>
          <w:szCs w:val="21"/>
        </w:rPr>
        <w:t>）政府采购违法行为风险知悉确认书</w:t>
      </w:r>
    </w:p>
    <w:p>
      <w:pPr>
        <w:spacing w:before="78" w:beforeLines="25" w:after="78" w:afterLines="25"/>
        <w:ind w:firstLine="991" w:firstLineChars="472"/>
        <w:rPr>
          <w:rFonts w:ascii="宋体" w:hAnsi="宋体"/>
          <w:szCs w:val="21"/>
        </w:rPr>
      </w:pPr>
      <w:r>
        <w:rPr>
          <w:rFonts w:ascii="宋体" w:hAnsi="宋体" w:hint="eastAsia"/>
          <w:szCs w:val="21"/>
        </w:rPr>
        <w:t>（</w:t>
      </w:r>
      <w:r>
        <w:rPr>
          <w:rFonts w:ascii="宋体" w:hAnsi="宋体" w:hint="eastAsia"/>
          <w:szCs w:val="21"/>
          <w:lang w:val="en-US" w:eastAsia="zh-CN"/>
        </w:rPr>
        <w:t>2</w:t>
      </w:r>
      <w:r>
        <w:rPr>
          <w:rFonts w:ascii="宋体" w:hAnsi="宋体" w:hint="eastAsia"/>
          <w:szCs w:val="21"/>
        </w:rPr>
        <w:t>）法定代表人（负责人）资格证明书</w:t>
      </w:r>
    </w:p>
    <w:p>
      <w:pPr>
        <w:spacing w:before="78" w:beforeLines="25" w:after="78" w:afterLines="25"/>
        <w:ind w:firstLine="991" w:firstLineChars="472"/>
        <w:rPr>
          <w:rFonts w:ascii="宋体" w:hAnsi="宋体"/>
          <w:szCs w:val="21"/>
        </w:rPr>
      </w:pPr>
      <w:r>
        <w:rPr>
          <w:rFonts w:ascii="宋体" w:hAnsi="宋体" w:hint="eastAsia"/>
          <w:szCs w:val="21"/>
        </w:rPr>
        <w:t>（</w:t>
      </w:r>
      <w:r>
        <w:rPr>
          <w:rFonts w:ascii="宋体" w:hAnsi="宋体" w:hint="eastAsia"/>
          <w:szCs w:val="21"/>
          <w:lang w:val="en-US" w:eastAsia="zh-CN"/>
        </w:rPr>
        <w:t>3</w:t>
      </w:r>
      <w:r>
        <w:rPr>
          <w:rFonts w:ascii="宋体" w:hAnsi="宋体" w:hint="eastAsia"/>
          <w:szCs w:val="21"/>
        </w:rPr>
        <w:t>）投标文件签署授权委托书</w:t>
      </w:r>
    </w:p>
    <w:p>
      <w:pPr>
        <w:spacing w:before="78" w:beforeLines="25" w:after="78" w:afterLines="25"/>
        <w:ind w:firstLine="991" w:firstLineChars="472"/>
        <w:rPr>
          <w:rFonts w:ascii="宋体" w:hAnsi="宋体"/>
          <w:szCs w:val="21"/>
        </w:rPr>
      </w:pPr>
      <w:r>
        <w:rPr>
          <w:rFonts w:ascii="宋体" w:hAnsi="宋体" w:hint="eastAsia"/>
          <w:szCs w:val="21"/>
        </w:rPr>
        <w:t>（</w:t>
      </w:r>
      <w:r>
        <w:rPr>
          <w:rFonts w:ascii="宋体" w:hAnsi="宋体" w:hint="eastAsia"/>
          <w:szCs w:val="21"/>
          <w:lang w:val="en-US" w:eastAsia="zh-CN"/>
        </w:rPr>
        <w:t>4</w:t>
      </w:r>
      <w:r>
        <w:rPr>
          <w:rFonts w:ascii="宋体" w:hAnsi="宋体" w:hint="eastAsia"/>
          <w:szCs w:val="21"/>
        </w:rPr>
        <w:t>）实质性条款响应情况表</w:t>
      </w:r>
    </w:p>
    <w:p>
      <w:pPr>
        <w:spacing w:before="78" w:beforeLines="25" w:after="78" w:afterLines="25"/>
        <w:ind w:firstLine="991" w:firstLineChars="472"/>
        <w:rPr>
          <w:rFonts w:ascii="宋体" w:hAnsi="宋体"/>
          <w:szCs w:val="21"/>
        </w:rPr>
      </w:pPr>
      <w:r>
        <w:rPr>
          <w:rFonts w:ascii="宋体" w:hAnsi="宋体" w:hint="eastAsia"/>
          <w:szCs w:val="21"/>
        </w:rPr>
        <w:t>（</w:t>
      </w:r>
      <w:r>
        <w:rPr>
          <w:rFonts w:ascii="宋体" w:hAnsi="宋体" w:hint="eastAsia"/>
          <w:szCs w:val="21"/>
          <w:lang w:val="en-US" w:eastAsia="zh-CN"/>
        </w:rPr>
        <w:t>5</w:t>
      </w:r>
      <w:r>
        <w:rPr>
          <w:rFonts w:ascii="宋体" w:hAnsi="宋体" w:hint="eastAsia"/>
          <w:szCs w:val="21"/>
        </w:rPr>
        <w:t>）详细分项报价清单</w:t>
      </w:r>
    </w:p>
    <w:p>
      <w:pPr>
        <w:spacing w:before="78" w:beforeLines="25" w:after="78" w:afterLines="25"/>
        <w:ind w:firstLine="991" w:firstLineChars="472"/>
        <w:rPr>
          <w:rFonts w:ascii="宋体" w:hAnsi="宋体"/>
          <w:szCs w:val="21"/>
        </w:rPr>
      </w:pPr>
      <w:r>
        <w:rPr>
          <w:rFonts w:ascii="宋体" w:hAnsi="宋体" w:hint="eastAsia"/>
          <w:szCs w:val="21"/>
        </w:rPr>
        <w:t>（</w:t>
      </w:r>
      <w:r>
        <w:rPr>
          <w:rFonts w:ascii="宋体" w:hAnsi="宋体" w:hint="eastAsia"/>
          <w:szCs w:val="21"/>
          <w:lang w:val="en-US" w:eastAsia="zh-CN"/>
        </w:rPr>
        <w:t>6</w:t>
      </w:r>
      <w:r>
        <w:rPr>
          <w:rFonts w:ascii="宋体" w:hAnsi="宋体" w:hint="eastAsia"/>
          <w:szCs w:val="21"/>
        </w:rPr>
        <w:t>）服务要求</w:t>
      </w:r>
      <w:r>
        <w:rPr>
          <w:rFonts w:ascii="宋体" w:hAnsi="宋体"/>
          <w:szCs w:val="21"/>
        </w:rPr>
        <w:t>偏离表</w:t>
      </w:r>
    </w:p>
    <w:p>
      <w:pPr>
        <w:spacing w:before="78" w:beforeLines="25" w:after="78" w:afterLines="25"/>
        <w:ind w:firstLine="991" w:firstLineChars="472"/>
        <w:rPr>
          <w:rFonts w:ascii="宋体" w:hAnsi="宋体"/>
          <w:szCs w:val="21"/>
        </w:rPr>
      </w:pPr>
      <w:r>
        <w:rPr>
          <w:rFonts w:ascii="宋体" w:hAnsi="宋体" w:hint="eastAsia"/>
          <w:szCs w:val="21"/>
        </w:rPr>
        <w:t>（</w:t>
      </w:r>
      <w:r>
        <w:rPr>
          <w:rFonts w:ascii="宋体" w:hAnsi="宋体" w:hint="eastAsia"/>
          <w:szCs w:val="21"/>
          <w:lang w:val="en-US" w:eastAsia="zh-CN"/>
        </w:rPr>
        <w:t>7</w:t>
      </w:r>
      <w:r>
        <w:rPr>
          <w:rFonts w:ascii="宋体" w:hAnsi="宋体" w:hint="eastAsia"/>
          <w:szCs w:val="21"/>
        </w:rPr>
        <w:t>）</w:t>
      </w:r>
      <w:r>
        <w:rPr>
          <w:rFonts w:ascii="宋体" w:hAnsi="宋体"/>
          <w:szCs w:val="21"/>
        </w:rPr>
        <w:t>商务</w:t>
      </w:r>
      <w:r>
        <w:rPr>
          <w:rFonts w:ascii="宋体" w:hAnsi="宋体" w:hint="eastAsia"/>
          <w:szCs w:val="21"/>
        </w:rPr>
        <w:t>要求</w:t>
      </w:r>
      <w:r>
        <w:rPr>
          <w:rFonts w:ascii="宋体" w:hAnsi="宋体"/>
          <w:szCs w:val="21"/>
        </w:rPr>
        <w:t>偏离表</w:t>
      </w:r>
    </w:p>
    <w:p>
      <w:pPr>
        <w:spacing w:before="78" w:beforeLines="25" w:after="78" w:afterLines="25"/>
        <w:ind w:firstLine="991" w:firstLineChars="472"/>
        <w:rPr>
          <w:rFonts w:ascii="宋体" w:eastAsia="宋体" w:hAnsi="宋体" w:hint="eastAsia"/>
          <w:szCs w:val="21"/>
        </w:rPr>
      </w:pPr>
      <w:r>
        <w:rPr>
          <w:rFonts w:ascii="宋体" w:hAnsi="宋体" w:hint="eastAsia"/>
          <w:szCs w:val="21"/>
        </w:rPr>
        <w:t>（</w:t>
      </w:r>
      <w:r>
        <w:rPr>
          <w:rFonts w:ascii="宋体" w:hAnsi="宋体" w:hint="eastAsia"/>
          <w:szCs w:val="21"/>
          <w:lang w:val="en-US" w:eastAsia="zh-CN"/>
        </w:rPr>
        <w:t>8</w:t>
      </w:r>
      <w:r>
        <w:rPr>
          <w:rFonts w:ascii="宋体" w:hAnsi="宋体" w:hint="eastAsia"/>
          <w:szCs w:val="21"/>
        </w:rPr>
        <w:t>）</w:t>
      </w:r>
      <w:r>
        <w:rPr>
          <w:rFonts w:ascii="宋体" w:eastAsia="宋体" w:hAnsi="宋体" w:cs="宋体" w:hint="eastAsia"/>
          <w:szCs w:val="21"/>
        </w:rPr>
        <w:t>项目服务方案</w:t>
      </w:r>
    </w:p>
    <w:p>
      <w:pPr>
        <w:spacing w:before="78" w:beforeLines="25" w:after="78" w:afterLines="25"/>
        <w:ind w:firstLine="991" w:firstLineChars="472"/>
        <w:rPr>
          <w:rFonts w:hint="eastAsia"/>
          <w:lang w:val="en-US" w:eastAsia="zh-CN"/>
        </w:rPr>
      </w:pPr>
      <w:r>
        <w:rPr>
          <w:rFonts w:ascii="宋体" w:hAnsi="宋体" w:hint="eastAsia"/>
          <w:szCs w:val="21"/>
          <w:lang w:eastAsia="zh-CN"/>
        </w:rPr>
        <w:t>（</w:t>
      </w:r>
      <w:r>
        <w:rPr>
          <w:rFonts w:ascii="宋体" w:hAnsi="宋体" w:hint="eastAsia"/>
          <w:szCs w:val="21"/>
          <w:lang w:val="en-US" w:eastAsia="zh-CN"/>
        </w:rPr>
        <w:t>9</w:t>
      </w:r>
      <w:r>
        <w:rPr>
          <w:rFonts w:ascii="宋体" w:hAnsi="宋体" w:hint="eastAsia"/>
          <w:szCs w:val="21"/>
          <w:lang w:eastAsia="zh-CN"/>
        </w:rPr>
        <w:t>）</w:t>
      </w:r>
      <w:r>
        <w:rPr>
          <w:rFonts w:hint="eastAsia"/>
          <w:lang w:val="en-US" w:eastAsia="zh-CN"/>
        </w:rPr>
        <w:t>项目组织管理方案</w:t>
      </w:r>
    </w:p>
    <w:p>
      <w:pPr>
        <w:spacing w:before="78" w:beforeLines="25" w:after="78" w:afterLines="25"/>
        <w:ind w:firstLine="991" w:firstLineChars="472"/>
        <w:rPr>
          <w:rFonts w:ascii="宋体" w:eastAsia="宋体" w:hAnsi="宋体" w:cs="Times New Roman" w:hint="eastAsia"/>
          <w:szCs w:val="21"/>
          <w:lang w:val="en-US" w:eastAsia="zh-CN"/>
        </w:rPr>
      </w:pPr>
      <w:r>
        <w:rPr>
          <w:rFonts w:ascii="宋体" w:eastAsia="宋体" w:hAnsi="宋体" w:cs="Times New Roman" w:hint="eastAsia"/>
          <w:szCs w:val="21"/>
          <w:lang w:val="en-US" w:eastAsia="zh-CN"/>
        </w:rPr>
        <w:t>（10）</w:t>
      </w:r>
      <w:r>
        <w:rPr>
          <w:rFonts w:ascii="宋体" w:eastAsia="宋体" w:hAnsi="宋体" w:cs="Times New Roman" w:hint="eastAsia"/>
          <w:szCs w:val="21"/>
        </w:rPr>
        <w:t>医务人员</w:t>
      </w:r>
      <w:r>
        <w:rPr>
          <w:rFonts w:ascii="宋体" w:eastAsia="宋体" w:hAnsi="宋体" w:cs="Times New Roman" w:hint="eastAsia"/>
          <w:szCs w:val="21"/>
          <w:lang w:val="en-US" w:eastAsia="zh-CN"/>
        </w:rPr>
        <w:t>稳定性保障方案</w:t>
      </w:r>
    </w:p>
    <w:p>
      <w:pPr>
        <w:spacing w:before="78" w:beforeLines="25" w:after="78" w:afterLines="25"/>
        <w:ind w:firstLine="991" w:firstLineChars="472"/>
        <w:rPr>
          <w:rFonts w:ascii="宋体" w:eastAsia="宋体" w:hAnsi="宋体" w:cs="宋体" w:hint="eastAsia"/>
          <w:szCs w:val="21"/>
        </w:rPr>
      </w:pPr>
      <w:r>
        <w:rPr>
          <w:rFonts w:ascii="宋体" w:eastAsia="宋体" w:hAnsi="宋体" w:cs="Times New Roman" w:hint="eastAsia"/>
          <w:szCs w:val="21"/>
          <w:lang w:val="en-US" w:eastAsia="zh-CN"/>
        </w:rPr>
        <w:t>（11）</w:t>
      </w:r>
      <w:r>
        <w:rPr>
          <w:rFonts w:ascii="宋体" w:eastAsia="宋体" w:hAnsi="宋体" w:cs="宋体" w:hint="eastAsia"/>
          <w:szCs w:val="21"/>
        </w:rPr>
        <w:t>医疗档案管理及</w:t>
      </w:r>
      <w:r>
        <w:rPr>
          <w:rFonts w:ascii="宋体" w:eastAsia="宋体" w:hAnsi="宋体" w:cs="宋体" w:hint="eastAsia"/>
          <w:szCs w:val="21"/>
          <w:lang w:val="en-US" w:eastAsia="zh-CN"/>
        </w:rPr>
        <w:t>所内医疗</w:t>
      </w:r>
      <w:r>
        <w:rPr>
          <w:rFonts w:ascii="宋体" w:eastAsia="宋体" w:hAnsi="宋体" w:cs="宋体" w:hint="eastAsia"/>
          <w:szCs w:val="21"/>
        </w:rPr>
        <w:t>服务方案</w:t>
      </w:r>
    </w:p>
    <w:p>
      <w:pPr>
        <w:spacing w:before="78" w:beforeLines="25" w:after="78" w:afterLines="25"/>
        <w:ind w:firstLine="991" w:firstLineChars="472"/>
        <w:rPr>
          <w:rFonts w:ascii="宋体" w:eastAsia="宋体" w:hAnsi="宋体" w:cs="宋体" w:hint="eastAsia"/>
          <w:szCs w:val="21"/>
        </w:rPr>
      </w:pPr>
      <w:r>
        <w:rPr>
          <w:rFonts w:ascii="宋体" w:eastAsia="宋体" w:hAnsi="宋体" w:cs="宋体" w:hint="eastAsia"/>
          <w:szCs w:val="21"/>
          <w:lang w:eastAsia="zh-CN"/>
        </w:rPr>
        <w:t>（</w:t>
      </w:r>
      <w:r>
        <w:rPr>
          <w:rFonts w:ascii="宋体" w:eastAsia="宋体" w:hAnsi="宋体" w:cs="宋体" w:hint="eastAsia"/>
          <w:szCs w:val="21"/>
          <w:lang w:val="en-US" w:eastAsia="zh-CN"/>
        </w:rPr>
        <w:t>12</w:t>
      </w:r>
      <w:r>
        <w:rPr>
          <w:rFonts w:ascii="宋体" w:eastAsia="宋体" w:hAnsi="宋体" w:cs="宋体" w:hint="eastAsia"/>
          <w:szCs w:val="21"/>
          <w:lang w:eastAsia="zh-CN"/>
        </w:rPr>
        <w:t>）</w:t>
      </w:r>
      <w:r>
        <w:rPr>
          <w:rFonts w:ascii="宋体" w:eastAsia="宋体" w:hAnsi="宋体" w:cs="宋体" w:hint="eastAsia"/>
          <w:szCs w:val="21"/>
        </w:rPr>
        <w:t>突发应急事项应急预案</w:t>
      </w:r>
    </w:p>
    <w:p>
      <w:pPr>
        <w:spacing w:before="78" w:beforeLines="25" w:after="78" w:afterLines="25"/>
        <w:ind w:firstLine="991" w:firstLineChars="472"/>
        <w:rPr>
          <w:rFonts w:ascii="宋体" w:eastAsia="宋体" w:hAnsi="宋体" w:cs="宋体" w:hint="eastAsia"/>
          <w:szCs w:val="21"/>
        </w:rPr>
      </w:pPr>
      <w:r>
        <w:rPr>
          <w:rFonts w:ascii="宋体" w:eastAsia="宋体" w:hAnsi="宋体" w:cs="宋体" w:hint="eastAsia"/>
          <w:szCs w:val="21"/>
          <w:lang w:eastAsia="zh-CN"/>
        </w:rPr>
        <w:t>（</w:t>
      </w:r>
      <w:r>
        <w:rPr>
          <w:rFonts w:ascii="宋体" w:eastAsia="宋体" w:hAnsi="宋体" w:cs="宋体" w:hint="eastAsia"/>
          <w:szCs w:val="21"/>
          <w:lang w:val="en-US" w:eastAsia="zh-CN"/>
        </w:rPr>
        <w:t>13</w:t>
      </w:r>
      <w:r>
        <w:rPr>
          <w:rFonts w:ascii="宋体" w:eastAsia="宋体" w:hAnsi="宋体" w:cs="宋体" w:hint="eastAsia"/>
          <w:szCs w:val="21"/>
          <w:lang w:eastAsia="zh-CN"/>
        </w:rPr>
        <w:t>）</w:t>
      </w:r>
      <w:r>
        <w:rPr>
          <w:rFonts w:ascii="宋体" w:eastAsia="宋体" w:hAnsi="宋体" w:cs="宋体" w:hint="eastAsia"/>
          <w:szCs w:val="21"/>
        </w:rPr>
        <w:t>急诊救治服务</w:t>
      </w:r>
    </w:p>
    <w:p>
      <w:pPr>
        <w:spacing w:before="78" w:beforeLines="25" w:after="78" w:afterLines="25"/>
        <w:ind w:firstLine="991" w:firstLineChars="472"/>
        <w:rPr>
          <w:rFonts w:ascii="宋体" w:eastAsia="宋体" w:hAnsi="宋体" w:cs="宋体" w:hint="default"/>
          <w:szCs w:val="21"/>
        </w:rPr>
      </w:pPr>
      <w:r>
        <w:rPr>
          <w:rFonts w:ascii="宋体" w:eastAsia="宋体" w:hAnsi="宋体" w:cs="宋体" w:hint="eastAsia"/>
          <w:szCs w:val="21"/>
          <w:lang w:eastAsia="zh-CN"/>
        </w:rPr>
        <w:t>（</w:t>
      </w:r>
      <w:r>
        <w:rPr>
          <w:rFonts w:ascii="宋体" w:eastAsia="宋体" w:hAnsi="宋体" w:cs="宋体" w:hint="eastAsia"/>
          <w:szCs w:val="21"/>
          <w:lang w:val="en-US" w:eastAsia="zh-CN"/>
        </w:rPr>
        <w:t>14</w:t>
      </w:r>
      <w:r>
        <w:rPr>
          <w:rFonts w:ascii="宋体" w:eastAsia="宋体" w:hAnsi="宋体" w:cs="宋体" w:hint="eastAsia"/>
          <w:szCs w:val="21"/>
          <w:lang w:eastAsia="zh-CN"/>
        </w:rPr>
        <w:t>）</w:t>
      </w:r>
      <w:r>
        <w:rPr>
          <w:rFonts w:ascii="宋体" w:eastAsia="宋体" w:hAnsi="宋体" w:cs="宋体" w:hint="default"/>
          <w:szCs w:val="21"/>
        </w:rPr>
        <w:t>大型医疗设备保障</w:t>
      </w:r>
    </w:p>
    <w:p>
      <w:pPr>
        <w:spacing w:before="78" w:beforeLines="25" w:after="78" w:afterLines="25"/>
        <w:ind w:firstLine="991" w:firstLineChars="472"/>
        <w:rPr>
          <w:rFonts w:ascii="宋体" w:eastAsia="宋体" w:hAnsi="宋体" w:cs="宋体" w:hint="eastAsia"/>
          <w:szCs w:val="21"/>
          <w:lang w:eastAsia="zh-CN"/>
        </w:rPr>
      </w:pPr>
      <w:r>
        <w:rPr>
          <w:rFonts w:ascii="宋体" w:eastAsia="宋体" w:hAnsi="宋体" w:cs="宋体" w:hint="eastAsia"/>
          <w:szCs w:val="21"/>
          <w:lang w:eastAsia="zh-CN"/>
        </w:rPr>
        <w:t>（</w:t>
      </w:r>
      <w:r>
        <w:rPr>
          <w:rFonts w:ascii="宋体" w:eastAsia="宋体" w:hAnsi="宋体" w:cs="宋体" w:hint="eastAsia"/>
          <w:szCs w:val="21"/>
          <w:lang w:val="en-US" w:eastAsia="zh-CN"/>
        </w:rPr>
        <w:t>15</w:t>
      </w:r>
      <w:r>
        <w:rPr>
          <w:rFonts w:ascii="宋体" w:eastAsia="宋体" w:hAnsi="宋体" w:cs="宋体" w:hint="eastAsia"/>
          <w:szCs w:val="21"/>
          <w:lang w:eastAsia="zh-CN"/>
        </w:rPr>
        <w:t>）投标人履约能力</w:t>
      </w:r>
    </w:p>
    <w:p>
      <w:pPr>
        <w:spacing w:before="78" w:beforeLines="25" w:after="78" w:afterLines="25"/>
        <w:ind w:firstLine="991" w:firstLineChars="472"/>
        <w:rPr>
          <w:rFonts w:ascii="宋体" w:eastAsia="宋体" w:hAnsi="宋体" w:cs="宋体" w:hint="eastAsia"/>
          <w:szCs w:val="21"/>
        </w:rPr>
      </w:pPr>
      <w:r>
        <w:rPr>
          <w:rFonts w:ascii="宋体" w:eastAsia="宋体" w:hAnsi="宋体" w:cs="宋体" w:hint="eastAsia"/>
          <w:szCs w:val="21"/>
          <w:lang w:eastAsia="zh-CN"/>
        </w:rPr>
        <w:t>（</w:t>
      </w:r>
      <w:r>
        <w:rPr>
          <w:rFonts w:ascii="宋体" w:eastAsia="宋体" w:hAnsi="宋体" w:cs="宋体" w:hint="eastAsia"/>
          <w:szCs w:val="21"/>
          <w:lang w:val="en-US" w:eastAsia="zh-CN"/>
        </w:rPr>
        <w:t>16</w:t>
      </w:r>
      <w:r>
        <w:rPr>
          <w:rFonts w:ascii="宋体" w:eastAsia="宋体" w:hAnsi="宋体" w:cs="宋体" w:hint="eastAsia"/>
          <w:szCs w:val="21"/>
          <w:lang w:eastAsia="zh-CN"/>
        </w:rPr>
        <w:t>）</w:t>
      </w:r>
      <w:r>
        <w:rPr>
          <w:rFonts w:ascii="宋体" w:eastAsia="宋体" w:hAnsi="宋体" w:cs="宋体" w:hint="eastAsia"/>
          <w:szCs w:val="21"/>
        </w:rPr>
        <w:t>精神科医师技术支持能力</w:t>
      </w:r>
    </w:p>
    <w:p>
      <w:pPr>
        <w:spacing w:before="78" w:beforeLines="25" w:after="78" w:afterLines="25"/>
        <w:ind w:firstLine="991" w:firstLineChars="472"/>
        <w:rPr>
          <w:rFonts w:ascii="宋体" w:eastAsia="宋体" w:hAnsi="宋体" w:cs="宋体" w:hint="eastAsia"/>
          <w:szCs w:val="21"/>
        </w:rPr>
      </w:pPr>
      <w:r>
        <w:rPr>
          <w:rFonts w:ascii="宋体" w:eastAsia="宋体" w:hAnsi="宋体" w:cs="宋体" w:hint="eastAsia"/>
          <w:szCs w:val="21"/>
        </w:rPr>
        <w:t>（</w:t>
      </w:r>
      <w:r>
        <w:rPr>
          <w:rFonts w:ascii="宋体" w:eastAsia="宋体" w:hAnsi="宋体" w:cs="宋体" w:hint="eastAsia"/>
          <w:szCs w:val="21"/>
          <w:lang w:val="en-US" w:eastAsia="zh-CN"/>
        </w:rPr>
        <w:t>17</w:t>
      </w:r>
      <w:r>
        <w:rPr>
          <w:rFonts w:ascii="宋体" w:eastAsia="宋体" w:hAnsi="宋体" w:cs="宋体" w:hint="eastAsia"/>
          <w:szCs w:val="21"/>
        </w:rPr>
        <w:t>）招标文件要求的其它内容或投标人认为需要补充的资料</w:t>
      </w:r>
    </w:p>
    <w:p>
      <w:pPr>
        <w:spacing w:before="78" w:beforeLines="25" w:after="78" w:afterLines="25"/>
        <w:rPr>
          <w:rFonts w:ascii="宋体" w:hAnsi="宋体"/>
          <w:szCs w:val="21"/>
        </w:rPr>
      </w:pPr>
    </w:p>
    <w:p>
      <w:pPr>
        <w:widowControl/>
        <w:ind w:firstLine="424" w:firstLineChars="202"/>
        <w:jc w:val="left"/>
        <w:rPr>
          <w:rFonts w:ascii="宋体" w:eastAsia="宋体" w:hAnsi="宋体"/>
          <w:b/>
          <w:kern w:val="0"/>
          <w:sz w:val="24"/>
          <w:szCs w:val="21"/>
        </w:rPr>
      </w:pPr>
      <w:r>
        <w:rPr>
          <w:rFonts w:ascii="宋体" w:eastAsia="宋体" w:hAnsi="宋体" w:hint="eastAsia"/>
          <w:b/>
          <w:kern w:val="0"/>
          <w:sz w:val="24"/>
          <w:szCs w:val="21"/>
        </w:rPr>
        <w:t>备注：</w:t>
      </w:r>
    </w:p>
    <w:p>
      <w:pPr>
        <w:widowControl/>
        <w:ind w:firstLine="424" w:firstLineChars="202"/>
        <w:jc w:val="left"/>
        <w:rPr>
          <w:rFonts w:ascii="宋体" w:eastAsia="宋体" w:hAnsi="宋体"/>
          <w:b/>
          <w:kern w:val="0"/>
          <w:sz w:val="24"/>
          <w:szCs w:val="21"/>
        </w:rPr>
      </w:pPr>
      <w:r>
        <w:rPr>
          <w:rFonts w:ascii="宋体" w:eastAsia="宋体" w:hAnsi="宋体" w:hint="eastAsia"/>
          <w:b/>
          <w:kern w:val="0"/>
          <w:sz w:val="24"/>
          <w:szCs w:val="21"/>
        </w:rPr>
        <w:t>1.本项目为网上电子投标项目，投标文件不需法人或授权委托人另行签字，无需加盖单位公章，招标文件专用条款另有规定的除外。</w:t>
      </w:r>
    </w:p>
    <w:p>
      <w:pPr>
        <w:widowControl/>
        <w:ind w:firstLine="424" w:firstLineChars="202"/>
        <w:jc w:val="left"/>
        <w:rPr>
          <w:rFonts w:ascii="宋体" w:eastAsia="宋体" w:hAnsi="宋体"/>
          <w:b/>
          <w:kern w:val="0"/>
          <w:sz w:val="24"/>
          <w:szCs w:val="21"/>
        </w:rPr>
      </w:pPr>
      <w:r>
        <w:rPr>
          <w:rFonts w:ascii="宋体" w:eastAsia="宋体" w:hAnsi="宋体" w:hint="eastAsia"/>
          <w:b/>
          <w:kern w:val="0"/>
          <w:sz w:val="24"/>
          <w:szCs w:val="21"/>
        </w:rPr>
        <w:t>2.关于填写“开标一览表”的说明：“开标一览表”中除“投标报价”外，其他信息不作为评审依据。</w:t>
      </w:r>
    </w:p>
    <w:p>
      <w:pPr>
        <w:widowControl/>
        <w:jc w:val="left"/>
        <w:rPr>
          <w:rFonts w:ascii="宋体" w:hAnsi="宋体"/>
          <w:szCs w:val="21"/>
        </w:rPr>
      </w:pPr>
      <w:r>
        <w:rPr>
          <w:rFonts w:ascii="宋体" w:hAnsi="宋体"/>
          <w:szCs w:val="21"/>
        </w:rPr>
        <w:br w:type="page"/>
      </w:r>
    </w:p>
    <w:p>
      <w:pPr>
        <w:rPr>
          <w:rFonts w:ascii="仿宋_GB2312" w:eastAsia="仿宋_GB2312" w:hAnsi="Times New Roman"/>
          <w:b/>
          <w:color w:val="FF0000"/>
          <w:sz w:val="30"/>
          <w:szCs w:val="30"/>
        </w:rPr>
      </w:pPr>
      <w:r>
        <w:rPr>
          <w:rFonts w:ascii="仿宋_GB2312" w:eastAsia="仿宋_GB2312" w:hAnsi="Times New Roman" w:hint="eastAsia"/>
          <w:b/>
          <w:color w:val="FF0000"/>
          <w:sz w:val="30"/>
          <w:szCs w:val="30"/>
        </w:rPr>
        <w:t>投标文件正文（信息公开部分）：</w:t>
      </w:r>
    </w:p>
    <w:p>
      <w:pPr>
        <w:pStyle w:val="Heading3"/>
        <w:jc w:val="center"/>
        <w:rPr>
          <w:rFonts w:ascii="黑体" w:eastAsia="黑体"/>
          <w:b w:val="0"/>
          <w:sz w:val="24"/>
        </w:rPr>
      </w:pPr>
      <w:r>
        <w:rPr>
          <w:rFonts w:ascii="黑体" w:eastAsia="黑体" w:hint="eastAsia"/>
          <w:b w:val="0"/>
          <w:sz w:val="24"/>
        </w:rPr>
        <w:t>一、投标函</w:t>
      </w:r>
    </w:p>
    <w:p>
      <w:pPr>
        <w:spacing w:line="360" w:lineRule="auto"/>
        <w:rPr>
          <w:rFonts w:ascii="宋体" w:hAnsi="宋体"/>
          <w:szCs w:val="21"/>
        </w:rPr>
      </w:pPr>
      <w:r>
        <w:rPr>
          <w:rFonts w:ascii="宋体" w:hAnsi="宋体" w:hint="eastAsia"/>
          <w:szCs w:val="21"/>
        </w:rPr>
        <w:t xml:space="preserve">深圳市中正招标有限公司：  </w:t>
      </w:r>
    </w:p>
    <w:p>
      <w:pPr>
        <w:spacing w:after="156" w:afterLines="50"/>
        <w:ind w:firstLine="420" w:firstLineChars="200"/>
        <w:rPr>
          <w:szCs w:val="21"/>
        </w:rPr>
      </w:pPr>
      <w:r>
        <w:rPr>
          <w:rFonts w:hint="eastAsia"/>
          <w:szCs w:val="21"/>
        </w:rPr>
        <w:t>1.根据已收到贵方的（项目编号为</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和《深圳网上政府采购管理暂行办法》等有关规定，我方经研究上述招标文件的专用条款及通用条款后，愿以投标书编制软件中《开标一览表》中填写的投标报价并按招标文件要求承包上述项目并修补其任何缺陷。</w:t>
      </w:r>
    </w:p>
    <w:p>
      <w:pPr>
        <w:spacing w:after="156" w:afterLines="50"/>
        <w:ind w:firstLine="420" w:firstLineChars="200"/>
        <w:rPr>
          <w:szCs w:val="21"/>
        </w:rPr>
      </w:pPr>
      <w:r>
        <w:rPr>
          <w:szCs w:val="21"/>
        </w:rPr>
        <w:t>2</w:t>
      </w:r>
      <w:r>
        <w:rPr>
          <w:rFonts w:hint="eastAsia"/>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after="156" w:afterLines="50"/>
        <w:ind w:firstLine="412" w:firstLineChars="196"/>
        <w:rPr>
          <w:rFonts w:ascii="宋体" w:hAnsi="宋体"/>
          <w:szCs w:val="21"/>
        </w:rPr>
      </w:pPr>
      <w:r>
        <w:rPr>
          <w:rFonts w:ascii="宋体" w:hAnsi="宋体" w:hint="eastAsia"/>
          <w:szCs w:val="21"/>
        </w:rPr>
        <w:t>3.我方同意所递交的投标文件在“对通用条款的补充内容”中的投标有效期内有效，在此期间内我方的投标有可能中标，我方将受此约束。</w:t>
      </w:r>
    </w:p>
    <w:p>
      <w:pPr>
        <w:spacing w:after="156" w:afterLines="50"/>
        <w:ind w:firstLine="412" w:firstLineChars="196"/>
        <w:rPr>
          <w:rFonts w:ascii="宋体" w:hAnsi="宋体"/>
          <w:szCs w:val="21"/>
        </w:rPr>
      </w:pPr>
      <w:r>
        <w:rPr>
          <w:rFonts w:ascii="宋体" w:hAnsi="宋体" w:hint="eastAsia"/>
          <w:szCs w:val="21"/>
        </w:rPr>
        <w:t>4.除非另外达成协议并生效，贵方的中标通知书和本投标文件将构成约束我们双方的合同。</w:t>
      </w:r>
    </w:p>
    <w:p>
      <w:pPr>
        <w:spacing w:after="156" w:afterLines="50"/>
        <w:ind w:firstLine="412" w:firstLineChars="196"/>
        <w:rPr>
          <w:rFonts w:ascii="宋体" w:hAnsi="宋体"/>
          <w:szCs w:val="21"/>
        </w:rPr>
      </w:pPr>
      <w:r>
        <w:rPr>
          <w:rFonts w:ascii="宋体" w:hAnsi="宋体" w:hint="eastAsia"/>
          <w:szCs w:val="21"/>
        </w:rPr>
        <w:t>5.我方理解贵方将不受必须接受你们所收到的最低标价或其它任何投标文件的约束。</w:t>
      </w:r>
    </w:p>
    <w:p>
      <w:pPr>
        <w:spacing w:after="156" w:afterLines="50"/>
        <w:ind w:firstLine="412" w:firstLineChars="196"/>
        <w:rPr>
          <w:rFonts w:ascii="宋体" w:hAnsi="宋体"/>
          <w:szCs w:val="21"/>
        </w:rPr>
      </w:pPr>
      <w:r>
        <w:rPr>
          <w:rFonts w:ascii="宋体" w:hAnsi="宋体" w:hint="eastAsia"/>
          <w:szCs w:val="21"/>
        </w:rPr>
        <w:t>6.</w:t>
      </w:r>
      <w:r>
        <w:rPr>
          <w:rFonts w:ascii="宋体" w:eastAsia="宋体" w:hAnsi="宋体" w:hint="eastAsia"/>
        </w:rPr>
        <w:t>我单位承诺在收到代理服务费缴费通知后7个工作日内领取中标（成交）通知书，逾期将视为我单位放弃中标（成交）资格。</w:t>
      </w:r>
    </w:p>
    <w:p>
      <w:pPr>
        <w:ind w:left="540" w:leftChars="257"/>
        <w:rPr>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pPr>
        <w:ind w:left="540" w:leftChars="257"/>
        <w:rPr>
          <w:szCs w:val="21"/>
          <w:u w:val="single"/>
        </w:rPr>
      </w:pPr>
      <w:r>
        <w:rPr>
          <w:rFonts w:hint="eastAsia"/>
          <w:szCs w:val="21"/>
        </w:rPr>
        <w:t>法定代表人或其委托代理人：</w:t>
      </w:r>
      <w:r>
        <w:rPr>
          <w:rFonts w:hint="eastAsia"/>
          <w:szCs w:val="21"/>
          <w:u w:val="single"/>
        </w:rPr>
        <w:t xml:space="preserve">                   </w:t>
      </w:r>
    </w:p>
    <w:p>
      <w:pPr>
        <w:ind w:left="540" w:leftChars="257"/>
        <w:rPr>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传真：</w:t>
      </w:r>
      <w:r>
        <w:rPr>
          <w:rFonts w:hint="eastAsia"/>
          <w:szCs w:val="21"/>
          <w:u w:val="single"/>
        </w:rPr>
        <w:t xml:space="preserve">            </w:t>
      </w:r>
    </w:p>
    <w:p>
      <w:pPr>
        <w:ind w:left="540" w:leftChars="257"/>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开户银行帐号：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pPr>
        <w:ind w:left="540" w:leftChars="257"/>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pPr>
        <w:ind w:firstLine="540" w:firstLineChars="257"/>
        <w:rPr>
          <w:sz w:val="24"/>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hint="eastAsia"/>
          <w:sz w:val="24"/>
        </w:rPr>
        <w:t xml:space="preserve">    </w:t>
      </w:r>
    </w:p>
    <w:p>
      <w:pPr>
        <w:ind w:firstLine="540" w:firstLineChars="257"/>
        <w:rPr>
          <w:sz w:val="24"/>
        </w:rPr>
      </w:pPr>
    </w:p>
    <w:p>
      <w:pPr>
        <w:rPr>
          <w:rFonts w:ascii="宋体" w:hAnsi="宋体"/>
          <w:szCs w:val="21"/>
        </w:rPr>
      </w:pPr>
      <w:r>
        <w:rPr>
          <w:rFonts w:hint="eastAsia"/>
          <w:szCs w:val="21"/>
          <w:u w:val="single"/>
        </w:rPr>
        <w:t>（备注：如联合体投标，投标人一栏仅需填写牵头人的名称）</w:t>
      </w:r>
    </w:p>
    <w:p>
      <w:pPr>
        <w:ind w:firstLine="540" w:firstLineChars="257"/>
        <w:rPr>
          <w:sz w:val="24"/>
        </w:rPr>
      </w:pPr>
      <w:r>
        <w:rPr>
          <w:rFonts w:hint="eastAsia"/>
          <w:sz w:val="24"/>
        </w:rPr>
        <w:t xml:space="preserve">                          </w:t>
      </w:r>
    </w:p>
    <w:p>
      <w:pPr>
        <w:pStyle w:val="Heading3"/>
        <w:jc w:val="center"/>
        <w:rPr>
          <w:rFonts w:ascii="黑体" w:eastAsia="黑体"/>
          <w:b w:val="0"/>
          <w:sz w:val="24"/>
        </w:rPr>
      </w:pPr>
      <w:r>
        <w:rPr>
          <w:rFonts w:ascii="黑体" w:eastAsia="黑体" w:hint="eastAsia"/>
          <w:b w:val="0"/>
          <w:sz w:val="24"/>
        </w:rPr>
        <w:t>二、资格响应文件</w:t>
      </w:r>
    </w:p>
    <w:p>
      <w:pPr>
        <w:adjustRightInd w:val="0"/>
        <w:snapToGrid w:val="0"/>
        <w:spacing w:line="360" w:lineRule="auto"/>
        <w:ind w:firstLine="424" w:firstLineChars="202"/>
        <w:rPr>
          <w:rFonts w:ascii="宋体" w:hAnsi="宋体"/>
          <w:bCs/>
          <w:snapToGrid w:val="0"/>
          <w:kern w:val="0"/>
          <w:szCs w:val="21"/>
        </w:rPr>
      </w:pPr>
      <w:r>
        <w:rPr>
          <w:rFonts w:ascii="宋体" w:hAnsi="宋体" w:hint="eastAsia"/>
          <w:bCs/>
          <w:snapToGrid w:val="0"/>
          <w:kern w:val="0"/>
          <w:szCs w:val="21"/>
        </w:rPr>
        <w:t>1、</w:t>
      </w:r>
      <w:r>
        <w:rPr>
          <w:rFonts w:ascii="宋体" w:hAnsi="宋体"/>
          <w:bCs/>
          <w:snapToGrid w:val="0"/>
          <w:kern w:val="0"/>
          <w:szCs w:val="21"/>
        </w:rPr>
        <w:t>营业执照</w:t>
      </w:r>
      <w:r>
        <w:rPr>
          <w:rFonts w:ascii="宋体" w:hAnsi="宋体" w:hint="eastAsia"/>
          <w:bCs/>
          <w:snapToGrid w:val="0"/>
          <w:kern w:val="0"/>
          <w:szCs w:val="21"/>
        </w:rPr>
        <w:t>或法人证书</w:t>
      </w:r>
      <w:r>
        <w:rPr>
          <w:rFonts w:ascii="Times New Roman" w:hAnsi="宋体" w:hint="eastAsia"/>
          <w:szCs w:val="21"/>
        </w:rPr>
        <w:t>等证明材料</w:t>
      </w:r>
      <w:r>
        <w:rPr>
          <w:rFonts w:ascii="宋体" w:hAnsi="宋体" w:hint="eastAsia"/>
          <w:bCs/>
          <w:snapToGrid w:val="0"/>
          <w:kern w:val="0"/>
          <w:szCs w:val="21"/>
        </w:rPr>
        <w:t>（扫描件）</w:t>
      </w:r>
    </w:p>
    <w:p>
      <w:pPr>
        <w:adjustRightInd w:val="0"/>
        <w:snapToGrid w:val="0"/>
        <w:spacing w:line="360" w:lineRule="auto"/>
        <w:ind w:firstLine="424" w:firstLineChars="202"/>
        <w:rPr>
          <w:rFonts w:ascii="宋体" w:hAnsi="宋体"/>
          <w:szCs w:val="24"/>
        </w:rPr>
      </w:pPr>
      <w:r>
        <w:rPr>
          <w:rFonts w:ascii="宋体" w:hAnsi="宋体" w:hint="eastAsia"/>
          <w:bCs/>
          <w:snapToGrid w:val="0"/>
          <w:kern w:val="0"/>
          <w:szCs w:val="21"/>
        </w:rPr>
        <w:t>2、</w:t>
      </w:r>
      <w:r>
        <w:rPr>
          <w:rFonts w:ascii="Times New Roman" w:hAnsi="Times New Roman" w:hint="eastAsia"/>
          <w:szCs w:val="21"/>
        </w:rPr>
        <w:t>政府采购投标及履约承诺函</w:t>
      </w:r>
    </w:p>
    <w:p>
      <w:pPr>
        <w:adjustRightInd w:val="0"/>
        <w:snapToGrid w:val="0"/>
        <w:spacing w:line="360" w:lineRule="auto"/>
        <w:ind w:firstLine="424" w:firstLineChars="202"/>
        <w:rPr>
          <w:rFonts w:ascii="宋体" w:hAnsi="宋体"/>
          <w:szCs w:val="24"/>
        </w:rPr>
      </w:pPr>
      <w:r>
        <w:rPr>
          <w:rFonts w:ascii="宋体" w:hAnsi="宋体" w:hint="eastAsia"/>
          <w:szCs w:val="24"/>
        </w:rPr>
        <w:t>3、其它资格证明材料（如有，按招标公告“申请人的资格要求”提供）</w:t>
      </w:r>
    </w:p>
    <w:p>
      <w:pPr>
        <w:rPr>
          <w:szCs w:val="21"/>
          <w:u w:val="single"/>
        </w:rPr>
      </w:pPr>
    </w:p>
    <w:p>
      <w:pPr>
        <w:rPr>
          <w:rFonts w:ascii="宋体" w:hAnsi="宋体"/>
          <w:szCs w:val="21"/>
        </w:rPr>
      </w:pPr>
      <w:r>
        <w:rPr>
          <w:rFonts w:hint="eastAsia"/>
          <w:szCs w:val="21"/>
          <w:u w:val="single"/>
        </w:rPr>
        <w:t>（备注：如联合体投标，联合体各方均应按要求提供资格响应文件）</w:t>
      </w:r>
    </w:p>
    <w:p>
      <w:pPr>
        <w:pStyle w:val="Heading3"/>
        <w:jc w:val="center"/>
        <w:rPr>
          <w:rFonts w:ascii="黑体" w:eastAsia="黑体"/>
          <w:b w:val="0"/>
          <w:sz w:val="24"/>
        </w:rPr>
      </w:pPr>
    </w:p>
    <w:p>
      <w:pPr>
        <w:pStyle w:val="Heading3"/>
        <w:jc w:val="center"/>
        <w:rPr>
          <w:rFonts w:ascii="黑体" w:eastAsia="黑体"/>
          <w:b w:val="0"/>
          <w:sz w:val="24"/>
        </w:rPr>
      </w:pPr>
      <w:r>
        <w:rPr>
          <w:rFonts w:ascii="黑体" w:eastAsia="黑体" w:hint="eastAsia"/>
          <w:b w:val="0"/>
          <w:sz w:val="24"/>
        </w:rPr>
        <w:t>政府采购投标及履约承诺函</w:t>
      </w:r>
    </w:p>
    <w:p>
      <w:pPr>
        <w:rPr>
          <w:rFonts w:ascii="宋体" w:hAnsi="宋体"/>
          <w:szCs w:val="21"/>
        </w:rPr>
      </w:pPr>
      <w:r>
        <w:rPr>
          <w:rFonts w:ascii="宋体" w:hAnsi="宋体" w:hint="eastAsia"/>
          <w:szCs w:val="21"/>
        </w:rPr>
        <w:t>深圳市中正招标有限公司：</w:t>
      </w:r>
    </w:p>
    <w:p>
      <w:pPr>
        <w:ind w:right="-815" w:firstLine="420" w:firstLineChars="200"/>
        <w:rPr>
          <w:rFonts w:ascii="宋体" w:hAnsi="宋体"/>
          <w:szCs w:val="21"/>
        </w:rPr>
      </w:pPr>
      <w:r>
        <w:rPr>
          <w:rFonts w:ascii="宋体" w:hAnsi="宋体" w:hint="eastAsia"/>
          <w:szCs w:val="21"/>
        </w:rPr>
        <w:t>我单位承诺：</w:t>
      </w:r>
    </w:p>
    <w:p>
      <w:pPr>
        <w:ind w:firstLine="424" w:firstLineChars="202"/>
        <w:rPr>
          <w:rFonts w:ascii="宋体" w:hAnsi="宋体"/>
          <w:szCs w:val="21"/>
        </w:rPr>
      </w:pPr>
      <w:r>
        <w:rPr>
          <w:rFonts w:ascii="宋体" w:hAnsi="宋体" w:hint="eastAsia"/>
          <w:szCs w:val="21"/>
        </w:rPr>
        <w:t>1.我单位满足《中华人民共和国政府采购法》第二十二条规定的下列条件：</w:t>
      </w:r>
    </w:p>
    <w:p>
      <w:pPr>
        <w:ind w:firstLine="424" w:firstLineChars="202"/>
        <w:rPr>
          <w:rFonts w:ascii="宋体" w:hAnsi="宋体"/>
          <w:szCs w:val="21"/>
        </w:rPr>
      </w:pPr>
      <w:r>
        <w:rPr>
          <w:rFonts w:ascii="宋体" w:hAnsi="宋体" w:hint="eastAsia"/>
          <w:szCs w:val="21"/>
        </w:rPr>
        <w:t>（一）具有独立承担民事责任的能力；</w:t>
      </w:r>
    </w:p>
    <w:p>
      <w:pPr>
        <w:ind w:firstLine="424" w:firstLineChars="202"/>
        <w:rPr>
          <w:rFonts w:ascii="宋体" w:hAnsi="宋体"/>
          <w:szCs w:val="21"/>
        </w:rPr>
      </w:pPr>
      <w:r>
        <w:rPr>
          <w:rFonts w:ascii="宋体" w:hAnsi="宋体" w:hint="eastAsia"/>
          <w:szCs w:val="21"/>
        </w:rPr>
        <w:t>（二）具有良好的商业信誉和健全的财务会计制度；</w:t>
      </w:r>
    </w:p>
    <w:p>
      <w:pPr>
        <w:ind w:firstLine="424" w:firstLineChars="202"/>
        <w:rPr>
          <w:rFonts w:ascii="宋体" w:hAnsi="宋体"/>
          <w:szCs w:val="21"/>
        </w:rPr>
      </w:pPr>
      <w:r>
        <w:rPr>
          <w:rFonts w:ascii="宋体" w:hAnsi="宋体" w:hint="eastAsia"/>
          <w:szCs w:val="21"/>
        </w:rPr>
        <w:t>（三）具有履行合同所必需的设备和专业技术能力；</w:t>
      </w:r>
    </w:p>
    <w:p>
      <w:pPr>
        <w:ind w:firstLine="424" w:firstLineChars="202"/>
        <w:rPr>
          <w:rFonts w:ascii="宋体" w:hAnsi="宋体"/>
          <w:szCs w:val="21"/>
        </w:rPr>
      </w:pPr>
      <w:r>
        <w:rPr>
          <w:rFonts w:ascii="宋体" w:hAnsi="宋体" w:hint="eastAsia"/>
          <w:szCs w:val="21"/>
        </w:rPr>
        <w:t>（四）有依法缴纳税收和社会保障资金的良好记录；</w:t>
      </w:r>
    </w:p>
    <w:p>
      <w:pPr>
        <w:ind w:firstLine="424" w:firstLineChars="202"/>
        <w:rPr>
          <w:rFonts w:ascii="宋体" w:hAnsi="宋体"/>
          <w:szCs w:val="21"/>
        </w:rPr>
      </w:pPr>
      <w:r>
        <w:rPr>
          <w:rFonts w:ascii="宋体" w:hAnsi="宋体" w:hint="eastAsia"/>
          <w:szCs w:val="21"/>
        </w:rPr>
        <w:t>（五）参加政府采购活动前三年内，在经营活动中没有重大违法记录；</w:t>
      </w:r>
    </w:p>
    <w:p>
      <w:pPr>
        <w:ind w:firstLine="424" w:firstLineChars="202"/>
        <w:rPr>
          <w:rFonts w:ascii="宋体" w:hAnsi="宋体"/>
          <w:szCs w:val="21"/>
        </w:rPr>
      </w:pPr>
      <w:r>
        <w:rPr>
          <w:rFonts w:ascii="宋体" w:hAnsi="宋体" w:hint="eastAsia"/>
          <w:szCs w:val="21"/>
        </w:rPr>
        <w:t>（六）法律、行政法规规定的其他条件。</w:t>
      </w:r>
    </w:p>
    <w:p>
      <w:pPr>
        <w:ind w:firstLine="424" w:firstLineChars="202"/>
        <w:rPr>
          <w:rFonts w:ascii="宋体" w:hAnsi="宋体"/>
          <w:szCs w:val="21"/>
        </w:rPr>
      </w:pPr>
      <w:r>
        <w:rPr>
          <w:rFonts w:ascii="宋体" w:hAnsi="宋体" w:hint="eastAsia"/>
          <w:szCs w:val="21"/>
        </w:rPr>
        <w:t>2.我单位参与本项目采购活动前三年内，在经营活动中没有重大违法记录，包括因违法经营受到刑事处罚或者责令停产停业、吊销许可证或者执照、较大数额罚款等行政处罚。</w:t>
      </w:r>
    </w:p>
    <w:p>
      <w:pPr>
        <w:ind w:firstLine="424" w:firstLineChars="202"/>
        <w:rPr>
          <w:rFonts w:ascii="宋体" w:hAnsi="宋体"/>
          <w:szCs w:val="21"/>
        </w:rPr>
      </w:pPr>
      <w:r>
        <w:rPr>
          <w:rFonts w:ascii="宋体" w:hAnsi="宋体" w:hint="eastAsia"/>
          <w:szCs w:val="21"/>
        </w:rPr>
        <w:t>3.我单位参与本项目政府采购活动时不存在被有关部门禁止参与政府采购活动且在有效期内的情况；与其他投标供应商不存在“单位负责人为同一人或者存在直接控股、管理关系”的情况；</w:t>
      </w:r>
      <w:r>
        <w:rPr>
          <w:rFonts w:ascii="宋体" w:eastAsia="宋体" w:hAnsi="宋体" w:hint="eastAsia"/>
          <w:snapToGrid w:val="0"/>
        </w:rPr>
        <w:t>除单一来源采购项目外，为采购项目提供整体设计、规范编制或者项目管理、监理、检测等服务的供应商，不得再参加该采购项目的其他采购活动</w:t>
      </w:r>
      <w:r>
        <w:rPr>
          <w:rFonts w:ascii="宋体" w:hAnsi="宋体" w:hint="eastAsia"/>
          <w:szCs w:val="21"/>
        </w:rPr>
        <w:t>。</w:t>
      </w:r>
    </w:p>
    <w:p>
      <w:pPr>
        <w:ind w:firstLine="424" w:firstLineChars="202"/>
        <w:rPr>
          <w:rFonts w:ascii="宋体" w:hAnsi="宋体"/>
          <w:szCs w:val="21"/>
        </w:rPr>
      </w:pPr>
      <w:r>
        <w:rPr>
          <w:rFonts w:ascii="宋体" w:hAnsi="宋体" w:hint="eastAsia"/>
          <w:szCs w:val="21"/>
        </w:rPr>
        <w:t>4.我单位承诺非联合体投标，不非法转包或分包，为本项目所提供的货物或服务未侵犯知识产权。</w:t>
      </w:r>
    </w:p>
    <w:p>
      <w:pPr>
        <w:ind w:firstLine="424" w:firstLineChars="202"/>
        <w:rPr>
          <w:rFonts w:ascii="宋体" w:hAnsi="宋体"/>
          <w:szCs w:val="21"/>
        </w:rPr>
      </w:pPr>
      <w:r>
        <w:rPr>
          <w:rFonts w:ascii="宋体" w:hAnsi="宋体" w:hint="eastAsia"/>
          <w:szCs w:val="21"/>
        </w:rPr>
        <w:t>5.我单位承诺不存在《深圳市财政局政府采购供应商信用信息管理办法》（深财规〔2023〕3号）列明的严重违法失信行为。</w:t>
      </w:r>
    </w:p>
    <w:p>
      <w:pPr>
        <w:ind w:firstLine="424" w:firstLineChars="202"/>
        <w:rPr>
          <w:rFonts w:ascii="宋体" w:hAnsi="宋体"/>
          <w:szCs w:val="21"/>
        </w:rPr>
      </w:pPr>
      <w:r>
        <w:rPr>
          <w:rFonts w:ascii="宋体" w:hAnsi="宋体" w:hint="eastAsia"/>
          <w:szCs w:val="21"/>
        </w:rPr>
        <w:t>6.我单位参与该项目投标，严格遵循公平竞争的原则，不妨碍其他投标人的竞争行为，不损害采购人或者其他投标人的合法权益，与其他采购参加人不存在</w:t>
      </w:r>
      <w:r>
        <w:rPr>
          <w:rFonts w:ascii="宋体" w:hAnsi="宋体" w:hint="eastAsia"/>
          <w:szCs w:val="21"/>
          <w:lang w:eastAsia="zh-CN"/>
        </w:rPr>
        <w:t>包括但不限于以下</w:t>
      </w:r>
      <w:r>
        <w:rPr>
          <w:rFonts w:ascii="宋体" w:hAnsi="宋体" w:hint="eastAsia"/>
          <w:szCs w:val="21"/>
        </w:rPr>
        <w:t>串通投标情形：</w:t>
      </w:r>
    </w:p>
    <w:p>
      <w:pPr>
        <w:ind w:firstLine="424" w:firstLineChars="202"/>
        <w:rPr>
          <w:rFonts w:ascii="宋体" w:hAnsi="宋体"/>
          <w:szCs w:val="21"/>
        </w:rPr>
      </w:pPr>
      <w:r>
        <w:rPr>
          <w:rFonts w:ascii="宋体" w:hAnsi="宋体" w:hint="eastAsia"/>
          <w:szCs w:val="21"/>
        </w:rPr>
        <w:t>（1）投标供应商之间相互约定给予未中标的供应商利益补偿；</w:t>
      </w:r>
    </w:p>
    <w:p>
      <w:pPr>
        <w:ind w:firstLine="424" w:firstLineChars="202"/>
        <w:rPr>
          <w:rFonts w:ascii="宋体" w:hAnsi="宋体"/>
          <w:szCs w:val="21"/>
        </w:rPr>
      </w:pPr>
      <w:r>
        <w:rPr>
          <w:rFonts w:ascii="宋体" w:hAnsi="宋体" w:hint="eastAsia"/>
          <w:szCs w:val="21"/>
        </w:rPr>
        <w:t>（2）不同投标供应商的法定代表人、主要经营负责人、项目投标授权代表人、项目负责人、主要技术人员为同一人、属同一单位或者在同一单位缴纳社会保险；</w:t>
      </w:r>
    </w:p>
    <w:p>
      <w:pPr>
        <w:ind w:firstLine="424" w:firstLineChars="202"/>
        <w:rPr>
          <w:rFonts w:ascii="宋体" w:hAnsi="宋体"/>
          <w:szCs w:val="21"/>
        </w:rPr>
      </w:pPr>
      <w:r>
        <w:rPr>
          <w:rFonts w:ascii="宋体" w:hAnsi="宋体" w:hint="eastAsia"/>
          <w:szCs w:val="21"/>
        </w:rPr>
        <w:t>（3）不同投标供应商的投标文件由同一单位或者同一人编制，或者由同一人分阶段参与编制的；</w:t>
      </w:r>
    </w:p>
    <w:p>
      <w:pPr>
        <w:ind w:firstLine="424" w:firstLineChars="202"/>
        <w:rPr>
          <w:rFonts w:ascii="宋体" w:hAnsi="宋体"/>
          <w:szCs w:val="21"/>
        </w:rPr>
      </w:pPr>
      <w:r>
        <w:rPr>
          <w:rFonts w:ascii="宋体" w:hAnsi="宋体" w:hint="eastAsia"/>
          <w:szCs w:val="21"/>
        </w:rPr>
        <w:t>（4）不同投标供应商的投标文件或部分投标文件相互混装；</w:t>
      </w:r>
    </w:p>
    <w:p>
      <w:pPr>
        <w:ind w:firstLine="424" w:firstLineChars="202"/>
        <w:rPr>
          <w:rFonts w:ascii="宋体" w:hAnsi="宋体"/>
          <w:szCs w:val="21"/>
        </w:rPr>
      </w:pPr>
      <w:r>
        <w:rPr>
          <w:rFonts w:ascii="宋体" w:hAnsi="宋体" w:hint="eastAsia"/>
          <w:szCs w:val="21"/>
        </w:rPr>
        <w:t>（5）不同投标供应商的投标文件内容存在非正常一致；</w:t>
      </w:r>
    </w:p>
    <w:p>
      <w:pPr>
        <w:ind w:firstLine="424" w:firstLineChars="202"/>
        <w:rPr>
          <w:rFonts w:ascii="宋体" w:hAnsi="宋体"/>
          <w:szCs w:val="21"/>
        </w:rPr>
      </w:pPr>
      <w:r>
        <w:rPr>
          <w:rFonts w:ascii="宋体" w:hAnsi="宋体" w:hint="eastAsia"/>
          <w:szCs w:val="21"/>
        </w:rPr>
        <w:t>（6）由同一单位工作人员为两家以上（含两家）供应商进行同一项投标活动的；</w:t>
      </w:r>
    </w:p>
    <w:p>
      <w:pPr>
        <w:ind w:firstLine="424" w:firstLineChars="202"/>
        <w:rPr>
          <w:rFonts w:ascii="宋体" w:hAnsi="宋体"/>
          <w:szCs w:val="21"/>
        </w:rPr>
      </w:pPr>
      <w:r>
        <w:rPr>
          <w:rFonts w:ascii="宋体" w:hAnsi="宋体" w:hint="eastAsia"/>
          <w:szCs w:val="21"/>
        </w:rPr>
        <w:t>（7）主管部门依照法律、法规认定的其他情形。</w:t>
      </w:r>
    </w:p>
    <w:p>
      <w:pPr>
        <w:ind w:firstLine="424" w:firstLineChars="202"/>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pPr>
        <w:ind w:firstLine="424" w:firstLineChars="202"/>
        <w:rPr>
          <w:rFonts w:ascii="宋体" w:hAnsi="宋体"/>
          <w:szCs w:val="21"/>
        </w:rPr>
      </w:pPr>
      <w:r>
        <w:rPr>
          <w:rFonts w:ascii="宋体" w:hAnsi="宋体" w:hint="eastAsia"/>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4" w:firstLineChars="202"/>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4" w:firstLineChars="202"/>
        <w:rPr>
          <w:rFonts w:ascii="宋体" w:hAnsi="宋体"/>
          <w:szCs w:val="21"/>
        </w:rPr>
      </w:pPr>
      <w:r>
        <w:rPr>
          <w:rFonts w:ascii="宋体" w:hAnsi="宋体" w:hint="eastAsia"/>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pPr>
        <w:ind w:firstLine="424" w:firstLineChars="202"/>
        <w:rPr>
          <w:rFonts w:ascii="宋体" w:hAnsi="宋体"/>
          <w:szCs w:val="21"/>
        </w:rPr>
      </w:pPr>
      <w:r>
        <w:rPr>
          <w:rFonts w:ascii="宋体" w:hAnsi="宋体" w:hint="eastAsia"/>
          <w:szCs w:val="21"/>
        </w:rPr>
        <w:t>以上承诺，如有违反，愿依照相关法律法规处理，并承担由此给采购人带来的损失。</w:t>
      </w:r>
    </w:p>
    <w:p>
      <w:pPr>
        <w:ind w:firstLine="424" w:firstLineChars="202"/>
        <w:rPr>
          <w:rFonts w:ascii="宋体" w:hAnsi="宋体"/>
          <w:szCs w:val="21"/>
        </w:rPr>
      </w:pPr>
    </w:p>
    <w:p>
      <w:pPr>
        <w:jc w:val="center"/>
      </w:pPr>
      <w:r>
        <w:rPr>
          <w:rFonts w:hint="eastAsia"/>
          <w:szCs w:val="21"/>
        </w:rPr>
        <w:t xml:space="preserve">                             投标人：</w:t>
      </w:r>
    </w:p>
    <w:p>
      <w:pPr>
        <w:rPr>
          <w:rFonts w:ascii="宋体" w:hAnsi="宋体"/>
          <w:szCs w:val="21"/>
        </w:rPr>
      </w:pPr>
      <w:r>
        <w:rPr>
          <w:rFonts w:ascii="宋体" w:hAnsi="宋体" w:hint="eastAsia"/>
          <w:szCs w:val="21"/>
        </w:rPr>
        <w:t xml:space="preserve">                                                      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pPr>
        <w:ind w:firstLine="424" w:firstLineChars="202"/>
        <w:rPr>
          <w:rFonts w:ascii="宋体" w:hAnsi="宋体"/>
          <w:szCs w:val="21"/>
        </w:rPr>
      </w:pPr>
    </w:p>
    <w:p/>
    <w:p>
      <w:pPr>
        <w:rPr>
          <w:rFonts w:ascii="宋体" w:hAnsi="宋体"/>
          <w:szCs w:val="21"/>
        </w:rPr>
      </w:pPr>
      <w:r>
        <w:rPr>
          <w:rFonts w:hint="eastAsia"/>
          <w:szCs w:val="21"/>
          <w:u w:val="single"/>
        </w:rPr>
        <w:t>（备注：如联合体投标，投标人一栏需填写联合体各方的名称）</w:t>
      </w:r>
    </w:p>
    <w:p/>
    <w:p>
      <w:pPr>
        <w:ind w:firstLine="420" w:firstLineChars="200"/>
        <w:rPr>
          <w:rFonts w:cs="Courier New"/>
          <w:snapToGrid w:val="0"/>
          <w:szCs w:val="18"/>
        </w:rPr>
      </w:pPr>
    </w:p>
    <w:p>
      <w:pPr>
        <w:pStyle w:val="Heading3"/>
        <w:jc w:val="center"/>
        <w:rPr>
          <w:rFonts w:ascii="黑体" w:eastAsia="黑体"/>
          <w:b w:val="0"/>
          <w:sz w:val="24"/>
        </w:rPr>
      </w:pPr>
      <w:r>
        <w:rPr>
          <w:rFonts w:ascii="黑体" w:eastAsia="黑体" w:hint="eastAsia"/>
          <w:b w:val="0"/>
          <w:sz w:val="24"/>
        </w:rPr>
        <w:t>三、投标人情况介绍</w:t>
      </w:r>
    </w:p>
    <w:p>
      <w:pPr>
        <w:spacing w:line="360" w:lineRule="exact"/>
        <w:rPr>
          <w:bCs/>
          <w:szCs w:val="21"/>
        </w:rPr>
      </w:pPr>
      <w:r>
        <w:rPr>
          <w:rFonts w:hint="eastAsia"/>
          <w:bCs/>
          <w:szCs w:val="21"/>
        </w:rPr>
        <w:t>注：供应商</w:t>
      </w:r>
      <w:r>
        <w:rPr>
          <w:rFonts w:hint="eastAsia"/>
          <w:bCs/>
          <w:szCs w:val="21"/>
          <w:lang w:eastAsia="zh-CN"/>
        </w:rPr>
        <w:t>如实提供情况介绍，格式自拟</w:t>
      </w:r>
      <w:r>
        <w:rPr>
          <w:rFonts w:hint="eastAsia"/>
          <w:bCs/>
          <w:szCs w:val="21"/>
        </w:rPr>
        <w:t>。</w:t>
      </w:r>
    </w:p>
    <w:p>
      <w:pPr>
        <w:ind w:left="632" w:hanging="630" w:hangingChars="300"/>
        <w:rPr>
          <w:b/>
          <w:bCs/>
        </w:rPr>
      </w:pPr>
    </w:p>
    <w:p>
      <w:pPr>
        <w:rPr>
          <w:rFonts w:ascii="宋体" w:hAnsi="宋体"/>
          <w:szCs w:val="21"/>
        </w:rPr>
      </w:pPr>
      <w:r>
        <w:rPr>
          <w:rFonts w:hint="eastAsia"/>
          <w:szCs w:val="21"/>
          <w:u w:val="single"/>
        </w:rPr>
        <w:t>（备注：如联合体投标，联合体各方均需提供情况介绍）</w:t>
      </w:r>
    </w:p>
    <w:p>
      <w:pPr>
        <w:ind w:left="632" w:hanging="630" w:hangingChars="300"/>
        <w:rPr>
          <w:b/>
          <w:bCs/>
        </w:rPr>
      </w:pPr>
    </w:p>
    <w:p>
      <w:pPr>
        <w:ind w:left="632" w:hanging="630" w:hangingChars="300"/>
        <w:rPr>
          <w:b/>
          <w:bCs/>
        </w:rPr>
      </w:pPr>
    </w:p>
    <w:p>
      <w:pPr>
        <w:jc w:val="center"/>
        <w:outlineLvl w:val="3"/>
        <w:rPr>
          <w:rFonts w:ascii="黑体" w:eastAsia="黑体" w:hAnsi="宋体"/>
          <w:bCs/>
          <w:kern w:val="0"/>
          <w:sz w:val="24"/>
          <w:szCs w:val="32"/>
        </w:rPr>
      </w:pPr>
      <w:r>
        <w:rPr>
          <w:rFonts w:ascii="黑体" w:eastAsia="黑体" w:hAnsi="宋体" w:hint="eastAsia"/>
          <w:bCs/>
          <w:kern w:val="0"/>
          <w:sz w:val="24"/>
          <w:szCs w:val="32"/>
        </w:rPr>
        <w:t>四、中小企业声明函等符合政府采购扶持政策的证明材料</w:t>
      </w:r>
    </w:p>
    <w:p>
      <w:pPr>
        <w:jc w:val="left"/>
        <w:outlineLvl w:val="3"/>
        <w:rPr>
          <w:rFonts w:ascii="黑体" w:eastAsia="黑体" w:hAnsi="宋体"/>
          <w:bCs/>
          <w:kern w:val="0"/>
          <w:sz w:val="24"/>
          <w:szCs w:val="32"/>
        </w:rPr>
      </w:pPr>
    </w:p>
    <w:p>
      <w:pPr>
        <w:widowControl/>
        <w:snapToGrid w:val="0"/>
        <w:spacing w:line="360" w:lineRule="auto"/>
        <w:jc w:val="left"/>
        <w:outlineLvl w:val="4"/>
        <w:rPr>
          <w:rFonts w:ascii="仿宋" w:eastAsia="仿宋" w:hAnsi="仿宋"/>
          <w:b/>
          <w:bCs/>
          <w:kern w:val="0"/>
          <w:sz w:val="25"/>
          <w:szCs w:val="25"/>
        </w:rPr>
      </w:pPr>
      <w:r>
        <w:rPr>
          <w:rFonts w:ascii="仿宋" w:eastAsia="仿宋" w:hAnsi="仿宋" w:hint="eastAsia"/>
          <w:b/>
          <w:bCs/>
          <w:kern w:val="0"/>
          <w:sz w:val="25"/>
          <w:szCs w:val="25"/>
        </w:rPr>
        <w:t>填写指引：</w:t>
      </w:r>
    </w:p>
    <w:p>
      <w:pPr>
        <w:widowControl/>
        <w:snapToGrid w:val="0"/>
        <w:spacing w:line="360" w:lineRule="auto"/>
        <w:ind w:firstLine="424" w:firstLineChars="202"/>
        <w:jc w:val="left"/>
        <w:rPr>
          <w:rFonts w:ascii="宋体" w:eastAsia="宋体" w:hAnsi="宋体"/>
          <w:kern w:val="0"/>
          <w:szCs w:val="21"/>
        </w:rPr>
      </w:pPr>
      <w:r>
        <w:rPr>
          <w:rFonts w:ascii="宋体" w:eastAsia="宋体" w:hAnsi="宋体" w:hint="eastAsia"/>
          <w:kern w:val="0"/>
          <w:szCs w:val="21"/>
        </w:rPr>
        <w:t>1、该部分内容由投标人根据自身实际情况填写，投标人提供的声明函不属实的，属于提供虚假资料谋取中标，依照《中华人民共和国政府采购法》等国家有关规定追究相应责任。</w:t>
      </w:r>
    </w:p>
    <w:p>
      <w:pPr>
        <w:widowControl/>
        <w:snapToGrid w:val="0"/>
        <w:spacing w:line="360" w:lineRule="auto"/>
        <w:ind w:firstLine="426"/>
        <w:jc w:val="left"/>
        <w:rPr>
          <w:rFonts w:ascii="宋体" w:eastAsia="宋体" w:hAnsi="宋体"/>
          <w:kern w:val="0"/>
          <w:szCs w:val="21"/>
        </w:rPr>
      </w:pPr>
      <w:r>
        <w:rPr>
          <w:rFonts w:ascii="宋体" w:eastAsia="宋体" w:hAnsi="宋体" w:hint="eastAsia"/>
          <w:kern w:val="0"/>
          <w:szCs w:val="21"/>
        </w:rPr>
        <w:t>2、该部分内容填写需要参考的相关文件包括但不限于（具体内容详见附件）：</w:t>
      </w:r>
    </w:p>
    <w:p>
      <w:pPr>
        <w:widowControl/>
        <w:snapToGrid w:val="0"/>
        <w:spacing w:line="360" w:lineRule="auto"/>
        <w:ind w:firstLine="555"/>
        <w:jc w:val="left"/>
        <w:rPr>
          <w:rFonts w:ascii="宋体" w:eastAsia="宋体" w:hAnsi="宋体"/>
          <w:kern w:val="0"/>
          <w:szCs w:val="21"/>
        </w:rPr>
      </w:pPr>
      <w:r>
        <w:rPr>
          <w:rFonts w:ascii="宋体" w:eastAsia="宋体" w:hAnsi="宋体" w:hint="eastAsia"/>
          <w:kern w:val="0"/>
          <w:szCs w:val="21"/>
        </w:rPr>
        <w:t>(</w:t>
      </w:r>
      <w:r>
        <w:rPr>
          <w:rFonts w:ascii="宋体" w:eastAsia="宋体" w:hAnsi="宋体"/>
          <w:kern w:val="0"/>
          <w:szCs w:val="21"/>
        </w:rPr>
        <w:t>1</w:t>
      </w:r>
      <w:r>
        <w:rPr>
          <w:rFonts w:ascii="宋体" w:eastAsia="宋体" w:hAnsi="宋体" w:hint="eastAsia"/>
          <w:kern w:val="0"/>
          <w:szCs w:val="21"/>
        </w:rPr>
        <w:t>)</w:t>
      </w:r>
      <w:r>
        <w:rPr>
          <w:rFonts w:ascii="宋体" w:eastAsia="宋体" w:hAnsi="宋体" w:hint="eastAsia"/>
          <w:szCs w:val="21"/>
        </w:rPr>
        <w:t xml:space="preserve"> </w:t>
      </w:r>
      <w:r>
        <w:rPr>
          <w:rFonts w:ascii="宋体" w:eastAsia="宋体" w:hAnsi="宋体" w:hint="eastAsia"/>
          <w:kern w:val="0"/>
          <w:szCs w:val="21"/>
        </w:rPr>
        <w:t>财政部 工业和信息化部关于印发《政府采购促进中小企业发展管理办法》的通知（财库〔2020〕46号）</w:t>
      </w:r>
    </w:p>
    <w:p>
      <w:pPr>
        <w:widowControl/>
        <w:snapToGrid w:val="0"/>
        <w:spacing w:line="360" w:lineRule="auto"/>
        <w:ind w:firstLine="555"/>
        <w:jc w:val="left"/>
        <w:rPr>
          <w:rFonts w:ascii="宋体" w:eastAsia="宋体" w:hAnsi="宋体"/>
          <w:kern w:val="0"/>
          <w:szCs w:val="21"/>
        </w:rPr>
      </w:pPr>
      <w:r>
        <w:rPr>
          <w:rFonts w:ascii="宋体" w:eastAsia="宋体" w:hAnsi="宋体" w:hint="eastAsia"/>
          <w:kern w:val="0"/>
          <w:szCs w:val="21"/>
        </w:rPr>
        <w:t>(</w:t>
      </w:r>
      <w:r>
        <w:rPr>
          <w:rFonts w:ascii="宋体" w:eastAsia="宋体" w:hAnsi="宋体"/>
          <w:kern w:val="0"/>
          <w:szCs w:val="21"/>
        </w:rPr>
        <w:t>2</w:t>
      </w:r>
      <w:r>
        <w:rPr>
          <w:rFonts w:ascii="宋体" w:eastAsia="宋体" w:hAnsi="宋体" w:hint="eastAsia"/>
          <w:kern w:val="0"/>
          <w:szCs w:val="21"/>
        </w:rPr>
        <w:t>)</w:t>
      </w:r>
      <w:bookmarkStart w:id="10" w:name="_Hlk71925120"/>
      <w:r>
        <w:rPr>
          <w:rFonts w:ascii="宋体" w:eastAsia="宋体" w:hAnsi="宋体" w:hint="eastAsia"/>
          <w:kern w:val="0"/>
          <w:szCs w:val="21"/>
        </w:rPr>
        <w:t>《关于印发中小企业划型标准规定的通知》（工信部联企业〔2011〕300 号</w:t>
      </w:r>
      <w:bookmarkEnd w:id="10"/>
      <w:r>
        <w:rPr>
          <w:rFonts w:ascii="宋体" w:eastAsia="宋体" w:hAnsi="宋体" w:hint="eastAsia"/>
          <w:kern w:val="0"/>
          <w:szCs w:val="21"/>
        </w:rPr>
        <w:t>）</w:t>
      </w:r>
    </w:p>
    <w:p>
      <w:pPr>
        <w:widowControl/>
        <w:snapToGrid w:val="0"/>
        <w:spacing w:line="360" w:lineRule="auto"/>
        <w:ind w:firstLine="555"/>
        <w:jc w:val="left"/>
        <w:rPr>
          <w:rFonts w:ascii="宋体" w:eastAsia="宋体" w:hAnsi="宋体"/>
          <w:kern w:val="0"/>
          <w:szCs w:val="21"/>
        </w:rPr>
      </w:pPr>
      <w:r>
        <w:rPr>
          <w:rFonts w:ascii="宋体" w:eastAsia="宋体" w:hAnsi="宋体" w:hint="eastAsia"/>
          <w:kern w:val="0"/>
          <w:szCs w:val="21"/>
        </w:rPr>
        <w:t>(3)</w:t>
      </w:r>
      <w:r>
        <w:rPr>
          <w:rFonts w:ascii="宋体" w:eastAsia="宋体" w:hAnsi="宋体" w:hint="eastAsia"/>
          <w:szCs w:val="21"/>
        </w:rPr>
        <w:t xml:space="preserve"> </w:t>
      </w:r>
      <w:r>
        <w:rPr>
          <w:rFonts w:ascii="宋体" w:eastAsia="宋体" w:hAnsi="宋体" w:hint="eastAsia"/>
          <w:kern w:val="0"/>
          <w:szCs w:val="21"/>
        </w:rPr>
        <w:t>国家统计局关于印发《统计上大中小微型企业划分办法 （2017）》的通知（国统字〔2017〕213 号）</w:t>
      </w:r>
    </w:p>
    <w:p>
      <w:pPr>
        <w:widowControl/>
        <w:snapToGrid w:val="0"/>
        <w:spacing w:line="360" w:lineRule="auto"/>
        <w:ind w:firstLine="555"/>
        <w:jc w:val="left"/>
        <w:rPr>
          <w:rFonts w:ascii="宋体" w:eastAsia="宋体" w:hAnsi="宋体"/>
          <w:kern w:val="0"/>
          <w:szCs w:val="21"/>
        </w:rPr>
      </w:pPr>
      <w:r>
        <w:rPr>
          <w:rFonts w:ascii="宋体" w:eastAsia="宋体" w:hAnsi="宋体" w:hint="eastAsia"/>
          <w:kern w:val="0"/>
          <w:szCs w:val="21"/>
        </w:rPr>
        <w:t>(4)</w:t>
      </w:r>
      <w:r>
        <w:rPr>
          <w:rFonts w:ascii="宋体" w:eastAsia="宋体" w:hAnsi="宋体" w:hint="eastAsia"/>
          <w:szCs w:val="21"/>
        </w:rPr>
        <w:t xml:space="preserve"> </w:t>
      </w:r>
      <w:r>
        <w:rPr>
          <w:rFonts w:ascii="宋体" w:eastAsia="宋体" w:hAnsi="宋体" w:hint="eastAsia"/>
          <w:kern w:val="0"/>
          <w:szCs w:val="21"/>
        </w:rPr>
        <w:t>财政部 民政部 中国残疾人联合会关于促进残疾人就业 政府采购政策的通知（财库〔2017〕141号）</w:t>
      </w:r>
    </w:p>
    <w:p>
      <w:pPr>
        <w:widowControl/>
        <w:snapToGrid w:val="0"/>
        <w:spacing w:line="360" w:lineRule="auto"/>
        <w:ind w:firstLine="555"/>
        <w:jc w:val="left"/>
        <w:rPr>
          <w:rFonts w:ascii="宋体" w:eastAsia="宋体" w:hAnsi="宋体"/>
          <w:szCs w:val="21"/>
        </w:rPr>
      </w:pPr>
      <w:r>
        <w:rPr>
          <w:rFonts w:ascii="宋体" w:eastAsia="宋体" w:hAnsi="宋体" w:hint="eastAsia"/>
          <w:kern w:val="0"/>
          <w:szCs w:val="21"/>
        </w:rPr>
        <w:t>(5)</w:t>
      </w:r>
      <w:r>
        <w:rPr>
          <w:rFonts w:ascii="宋体" w:eastAsia="宋体" w:hAnsi="宋体" w:hint="eastAsia"/>
          <w:szCs w:val="21"/>
        </w:rPr>
        <w:t xml:space="preserve"> </w:t>
      </w:r>
      <w:r>
        <w:rPr>
          <w:rFonts w:ascii="宋体" w:eastAsia="宋体" w:hAnsi="宋体" w:hint="eastAsia"/>
          <w:kern w:val="0"/>
          <w:szCs w:val="21"/>
        </w:rPr>
        <w:t>财政部 司法部关于政府采购支持监狱企业发展有关问题的通知（财库〔2014〕68号）</w:t>
      </w:r>
    </w:p>
    <w:p>
      <w:pPr>
        <w:widowControl/>
        <w:snapToGrid w:val="0"/>
        <w:spacing w:line="360" w:lineRule="auto"/>
        <w:jc w:val="left"/>
        <w:rPr>
          <w:rFonts w:ascii="宋体" w:eastAsia="宋体" w:hAnsi="宋体"/>
          <w:kern w:val="0"/>
          <w:szCs w:val="21"/>
        </w:rPr>
      </w:pPr>
      <w:r>
        <w:rPr>
          <w:rFonts w:ascii="宋体" w:eastAsia="宋体" w:hAnsi="宋体" w:hint="eastAsia"/>
          <w:kern w:val="0"/>
          <w:szCs w:val="21"/>
        </w:rPr>
        <w:t xml:space="preserve">    3、请依照招标文件提供的格式和内容填写声明函，不要随意变更格式；声明函不需要盖章或签字；满足多项优惠政策的投标人，不重复享受多项价格扣除政策。</w:t>
      </w:r>
    </w:p>
    <w:p>
      <w:pPr>
        <w:widowControl/>
        <w:snapToGrid w:val="0"/>
        <w:spacing w:line="360" w:lineRule="auto"/>
        <w:jc w:val="left"/>
        <w:rPr>
          <w:rFonts w:ascii="宋体" w:eastAsia="宋体" w:hAnsi="宋体"/>
          <w:kern w:val="0"/>
          <w:szCs w:val="21"/>
        </w:rPr>
      </w:pPr>
      <w:r>
        <w:rPr>
          <w:rFonts w:ascii="宋体" w:eastAsia="宋体" w:hAnsi="宋体" w:hint="eastAsia"/>
          <w:kern w:val="0"/>
          <w:szCs w:val="21"/>
        </w:rPr>
        <w:t xml:space="preserve">    4、《中小企业声明函》填写要求：</w:t>
      </w:r>
    </w:p>
    <w:p>
      <w:pPr>
        <w:widowControl/>
        <w:snapToGrid w:val="0"/>
        <w:spacing w:line="360" w:lineRule="auto"/>
        <w:ind w:firstLine="424" w:firstLineChars="202"/>
        <w:jc w:val="left"/>
        <w:rPr>
          <w:rFonts w:ascii="宋体" w:eastAsia="宋体" w:hAnsi="宋体"/>
          <w:kern w:val="0"/>
          <w:szCs w:val="21"/>
        </w:rPr>
      </w:pPr>
      <w:r>
        <w:rPr>
          <w:rFonts w:ascii="宋体" w:eastAsia="宋体" w:hAnsi="宋体" w:hint="eastAsia"/>
          <w:kern w:val="0"/>
          <w:szCs w:val="21"/>
        </w:rPr>
        <w:t>（1）在“单位名称”下划线处如实填写</w:t>
      </w:r>
      <w:r>
        <w:rPr>
          <w:rFonts w:ascii="宋体" w:eastAsia="宋体" w:hAnsi="宋体" w:hint="eastAsia"/>
          <w:b/>
          <w:color w:val="FF0000"/>
          <w:kern w:val="0"/>
          <w:szCs w:val="21"/>
        </w:rPr>
        <w:t>采购人名称（详见采购人信息，非采购代理机构）</w:t>
      </w:r>
      <w:r>
        <w:rPr>
          <w:rFonts w:ascii="宋体" w:eastAsia="宋体" w:hAnsi="宋体" w:hint="eastAsia"/>
          <w:kern w:val="0"/>
          <w:szCs w:val="21"/>
        </w:rPr>
        <w:t>；</w:t>
      </w:r>
    </w:p>
    <w:p>
      <w:pPr>
        <w:widowControl/>
        <w:snapToGrid w:val="0"/>
        <w:spacing w:line="360" w:lineRule="auto"/>
        <w:ind w:firstLine="424" w:firstLineChars="202"/>
        <w:jc w:val="left"/>
        <w:rPr>
          <w:rFonts w:ascii="宋体" w:eastAsia="宋体" w:hAnsi="宋体"/>
          <w:kern w:val="0"/>
          <w:szCs w:val="21"/>
        </w:rPr>
      </w:pPr>
      <w:r>
        <w:rPr>
          <w:rFonts w:ascii="宋体" w:eastAsia="宋体" w:hAnsi="宋体" w:hint="eastAsia"/>
          <w:kern w:val="0"/>
          <w:szCs w:val="21"/>
        </w:rPr>
        <w:t>（2）在“项目名称”下划线处如实填写</w:t>
      </w:r>
      <w:r>
        <w:rPr>
          <w:rFonts w:ascii="宋体" w:eastAsia="宋体" w:hAnsi="宋体" w:hint="eastAsia"/>
          <w:b/>
          <w:color w:val="FF0000"/>
          <w:kern w:val="0"/>
          <w:szCs w:val="21"/>
        </w:rPr>
        <w:t>采购项目名称</w:t>
      </w:r>
      <w:r>
        <w:rPr>
          <w:rFonts w:ascii="宋体" w:eastAsia="宋体" w:hAnsi="宋体" w:hint="eastAsia"/>
          <w:kern w:val="0"/>
          <w:szCs w:val="21"/>
        </w:rPr>
        <w:t>；</w:t>
      </w:r>
    </w:p>
    <w:p>
      <w:pPr>
        <w:widowControl/>
        <w:snapToGrid w:val="0"/>
        <w:spacing w:line="360" w:lineRule="auto"/>
        <w:ind w:firstLine="424" w:firstLineChars="202"/>
        <w:jc w:val="left"/>
        <w:rPr>
          <w:rFonts w:ascii="宋体" w:eastAsia="宋体" w:hAnsi="宋体"/>
          <w:kern w:val="0"/>
          <w:szCs w:val="21"/>
        </w:rPr>
      </w:pPr>
      <w:r>
        <w:rPr>
          <w:rFonts w:ascii="宋体" w:eastAsia="宋体" w:hAnsi="宋体" w:hint="eastAsia"/>
          <w:kern w:val="0"/>
          <w:szCs w:val="21"/>
        </w:rPr>
        <w:t>（3）在“标的名称”下划线处填写</w:t>
      </w:r>
      <w:r>
        <w:rPr>
          <w:rFonts w:ascii="宋体" w:eastAsia="宋体" w:hAnsi="宋体" w:hint="eastAsia"/>
          <w:b/>
          <w:color w:val="FF0000"/>
          <w:kern w:val="0"/>
          <w:szCs w:val="21"/>
        </w:rPr>
        <w:t>采购标的（货物或服务或工程）的具体名称</w:t>
      </w:r>
      <w:r>
        <w:rPr>
          <w:rFonts w:ascii="宋体" w:eastAsia="宋体" w:hAnsi="宋体" w:hint="eastAsia"/>
          <w:b/>
          <w:bCs/>
          <w:color w:val="FF0000"/>
          <w:kern w:val="0"/>
          <w:szCs w:val="21"/>
        </w:rPr>
        <w:t>（具体详见第二章招标项目需求，如涉及多项标的，投标人需逐项进行响应）</w:t>
      </w:r>
      <w:r>
        <w:rPr>
          <w:rFonts w:ascii="宋体" w:eastAsia="宋体" w:hAnsi="宋体" w:hint="eastAsia"/>
          <w:kern w:val="0"/>
          <w:szCs w:val="21"/>
        </w:rPr>
        <w:t>；</w:t>
      </w:r>
    </w:p>
    <w:p>
      <w:pPr>
        <w:widowControl/>
        <w:snapToGrid w:val="0"/>
        <w:spacing w:line="360" w:lineRule="auto"/>
        <w:ind w:firstLine="424" w:firstLineChars="202"/>
        <w:jc w:val="left"/>
        <w:rPr>
          <w:rFonts w:ascii="宋体" w:eastAsia="宋体" w:hAnsi="宋体"/>
          <w:kern w:val="0"/>
          <w:szCs w:val="21"/>
        </w:rPr>
      </w:pPr>
      <w:r>
        <w:rPr>
          <w:rFonts w:ascii="宋体" w:eastAsia="宋体" w:hAnsi="宋体" w:hint="eastAsia"/>
          <w:kern w:val="0"/>
          <w:szCs w:val="21"/>
        </w:rPr>
        <w:t>（4）在“</w:t>
      </w:r>
      <w:r>
        <w:rPr>
          <w:rFonts w:ascii="宋体" w:eastAsia="宋体" w:hAnsi="宋体"/>
          <w:szCs w:val="21"/>
        </w:rPr>
        <w:t>采购文件</w:t>
      </w:r>
      <w:r>
        <w:rPr>
          <w:rFonts w:ascii="宋体" w:eastAsia="宋体" w:hAnsi="宋体" w:hint="eastAsia"/>
          <w:kern w:val="0"/>
          <w:szCs w:val="21"/>
        </w:rPr>
        <w:t>中明确的所属行业”下划线处填写</w:t>
      </w:r>
      <w:r>
        <w:rPr>
          <w:rFonts w:ascii="宋体" w:eastAsia="宋体" w:hAnsi="宋体" w:hint="eastAsia"/>
          <w:b/>
          <w:color w:val="FF0000"/>
          <w:kern w:val="0"/>
          <w:szCs w:val="21"/>
        </w:rPr>
        <w:t>采购文件规定的本项目所属行业</w:t>
      </w:r>
      <w:r>
        <w:rPr>
          <w:rFonts w:ascii="宋体" w:eastAsia="宋体" w:hAnsi="宋体" w:hint="eastAsia"/>
          <w:b/>
          <w:bCs/>
          <w:color w:val="FF0000"/>
          <w:kern w:val="0"/>
          <w:szCs w:val="21"/>
        </w:rPr>
        <w:t>（详见其它关键信息）</w:t>
      </w:r>
      <w:r>
        <w:rPr>
          <w:rFonts w:ascii="宋体" w:eastAsia="宋体" w:hAnsi="宋体" w:hint="eastAsia"/>
          <w:kern w:val="0"/>
          <w:szCs w:val="21"/>
        </w:rPr>
        <w:t>；</w:t>
      </w:r>
    </w:p>
    <w:p>
      <w:pPr>
        <w:widowControl/>
        <w:snapToGrid w:val="0"/>
        <w:spacing w:line="360" w:lineRule="auto"/>
        <w:ind w:left="0" w:firstLine="420" w:leftChars="0" w:firstLineChars="200"/>
        <w:jc w:val="left"/>
        <w:rPr>
          <w:rFonts w:ascii="宋体" w:eastAsia="宋体" w:hAnsi="宋体"/>
          <w:kern w:val="0"/>
          <w:szCs w:val="21"/>
        </w:rPr>
      </w:pPr>
      <w:r>
        <w:rPr>
          <w:rFonts w:ascii="宋体" w:eastAsia="宋体" w:hAnsi="宋体" w:hint="eastAsia"/>
          <w:kern w:val="0"/>
          <w:szCs w:val="21"/>
        </w:rPr>
        <w:t>（5）在“从业人员”、“营业收入”、“资产总额”下划线处如实填写</w:t>
      </w:r>
      <w:r>
        <w:rPr>
          <w:rFonts w:ascii="宋体" w:eastAsia="宋体" w:hAnsi="宋体" w:hint="eastAsia"/>
          <w:b/>
          <w:color w:val="FF0000"/>
          <w:kern w:val="0"/>
          <w:szCs w:val="21"/>
        </w:rPr>
        <w:t>制造商（货物类）或承接企业（服务或工程类）</w:t>
      </w:r>
      <w:r>
        <w:rPr>
          <w:rFonts w:ascii="宋体" w:eastAsia="宋体" w:hAnsi="宋体" w:hint="eastAsia"/>
          <w:kern w:val="0"/>
          <w:szCs w:val="21"/>
        </w:rPr>
        <w:t>上一年度</w:t>
      </w:r>
      <w:r>
        <w:rPr>
          <w:rFonts w:ascii="宋体" w:eastAsia="宋体" w:hAnsi="宋体" w:hint="eastAsia"/>
          <w:kern w:val="0"/>
          <w:szCs w:val="21"/>
          <w:lang w:eastAsia="zh-CN"/>
        </w:rPr>
        <w:t>数据</w:t>
      </w:r>
      <w:r>
        <w:rPr>
          <w:rFonts w:ascii="宋体" w:eastAsia="宋体" w:hAnsi="宋体" w:hint="eastAsia"/>
          <w:kern w:val="0"/>
          <w:szCs w:val="21"/>
        </w:rPr>
        <w:t>，从业人员、资产总额指标以上年度末数据为依据</w:t>
      </w:r>
      <w:r>
        <w:rPr>
          <w:rFonts w:ascii="宋体" w:eastAsia="宋体" w:hAnsi="宋体" w:hint="eastAsia"/>
          <w:kern w:val="0"/>
          <w:szCs w:val="21"/>
          <w:lang w:eastAsia="zh-CN"/>
        </w:rPr>
        <w:t>，</w:t>
      </w:r>
      <w:r>
        <w:rPr>
          <w:rFonts w:ascii="宋体" w:eastAsia="宋体" w:hAnsi="宋体" w:hint="eastAsia"/>
          <w:kern w:val="0"/>
          <w:szCs w:val="21"/>
        </w:rPr>
        <w:t>营业收入指标以上年度累计数据为依据。无上年度数据的新成立企业可不填报。</w:t>
      </w:r>
      <w:r>
        <w:rPr>
          <w:rFonts w:ascii="宋体" w:eastAsia="宋体" w:hAnsi="宋体" w:hint="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ascii="宋体" w:eastAsia="宋体" w:hAnsi="宋体" w:hint="eastAsia"/>
          <w:kern w:val="0"/>
          <w:szCs w:val="21"/>
        </w:rPr>
        <w:t>；</w:t>
      </w:r>
    </w:p>
    <w:p>
      <w:pPr>
        <w:widowControl/>
        <w:snapToGrid w:val="0"/>
        <w:spacing w:line="360" w:lineRule="auto"/>
        <w:ind w:left="0" w:firstLine="420" w:leftChars="0" w:firstLineChars="200"/>
        <w:jc w:val="left"/>
        <w:rPr>
          <w:rFonts w:ascii="宋体" w:eastAsia="宋体" w:hAnsi="宋体" w:cs="Times New Roman" w:hint="eastAsia"/>
          <w:kern w:val="0"/>
          <w:szCs w:val="21"/>
        </w:rPr>
      </w:pPr>
      <w:r>
        <w:rPr>
          <w:rFonts w:ascii="宋体" w:eastAsia="宋体" w:hAnsi="宋体" w:hint="eastAsia"/>
          <w:kern w:val="0"/>
          <w:szCs w:val="21"/>
        </w:rPr>
        <w:t>（6）在“中型企业、小型企业、微型企业”下划线处</w:t>
      </w:r>
      <w:r>
        <w:rPr>
          <w:rFonts w:ascii="宋体" w:hAnsi="宋体" w:hint="eastAsia"/>
          <w:kern w:val="0"/>
          <w:szCs w:val="21"/>
        </w:rPr>
        <w:t>如实依照工信部联企业〔2011〕300号文填写相应的企业类型</w:t>
      </w:r>
      <w:r>
        <w:rPr>
          <w:rFonts w:ascii="宋体" w:eastAsia="宋体" w:hAnsi="宋体" w:cs="Times New Roman" w:hint="eastAsia"/>
          <w:kern w:val="0"/>
          <w:szCs w:val="21"/>
        </w:rPr>
        <w:t>；</w:t>
      </w:r>
    </w:p>
    <w:p>
      <w:pPr>
        <w:widowControl/>
        <w:snapToGrid w:val="0"/>
        <w:spacing w:line="360" w:lineRule="auto"/>
        <w:ind w:left="0" w:firstLine="420" w:leftChars="0" w:firstLineChars="200"/>
        <w:jc w:val="left"/>
        <w:rPr>
          <w:rFonts w:ascii="宋体" w:eastAsia="宋体" w:hAnsi="宋体"/>
          <w:b/>
          <w:color w:val="FF0000"/>
          <w:kern w:val="0"/>
          <w:szCs w:val="21"/>
        </w:rPr>
      </w:pPr>
      <w:r>
        <w:rPr>
          <w:rFonts w:ascii="宋体" w:eastAsia="宋体" w:hAnsi="宋体" w:hint="eastAsia"/>
          <w:b/>
          <w:color w:val="FF0000"/>
          <w:kern w:val="0"/>
          <w:szCs w:val="21"/>
        </w:rPr>
        <w:t>（7）如为联合体</w:t>
      </w:r>
      <w:r>
        <w:rPr>
          <w:rFonts w:ascii="宋体" w:eastAsia="宋体" w:hAnsi="宋体" w:hint="eastAsia"/>
          <w:b/>
          <w:color w:val="FF0000"/>
          <w:kern w:val="0"/>
          <w:szCs w:val="21"/>
          <w:lang w:eastAsia="zh-CN"/>
        </w:rPr>
        <w:t>响应</w:t>
      </w:r>
      <w:r>
        <w:rPr>
          <w:rFonts w:ascii="宋体" w:eastAsia="宋体" w:hAnsi="宋体" w:hint="eastAsia"/>
          <w:b/>
          <w:color w:val="FF0000"/>
          <w:kern w:val="0"/>
          <w:szCs w:val="21"/>
        </w:rPr>
        <w:t>或以分包形式</w:t>
      </w:r>
      <w:r>
        <w:rPr>
          <w:rFonts w:ascii="宋体" w:eastAsia="宋体" w:hAnsi="宋体" w:hint="eastAsia"/>
          <w:b/>
          <w:color w:val="FF0000"/>
          <w:kern w:val="0"/>
          <w:szCs w:val="21"/>
          <w:lang w:eastAsia="zh-CN"/>
        </w:rPr>
        <w:t>响应</w:t>
      </w:r>
      <w:r>
        <w:rPr>
          <w:rFonts w:ascii="宋体" w:eastAsia="宋体" w:hAnsi="宋体" w:hint="eastAsia"/>
          <w:b/>
          <w:color w:val="FF0000"/>
          <w:kern w:val="0"/>
          <w:szCs w:val="21"/>
        </w:rPr>
        <w:t>的，需分别填写每家中小企业的企业名称、从业人员、营业收入、资产总额、企业类别（中型企业、小型企业、微型企业）等信息；</w:t>
      </w:r>
    </w:p>
    <w:p>
      <w:pPr>
        <w:widowControl/>
        <w:snapToGrid w:val="0"/>
        <w:spacing w:line="360" w:lineRule="auto"/>
        <w:ind w:left="0" w:firstLine="420" w:leftChars="0" w:firstLineChars="200"/>
        <w:jc w:val="left"/>
        <w:rPr>
          <w:rFonts w:ascii="Calibri" w:eastAsia="宋体" w:hAnsi="Calibri" w:cs="Times New Roman" w:hint="eastAsia"/>
          <w:szCs w:val="22"/>
          <w:lang w:eastAsia="zh-CN"/>
        </w:rPr>
      </w:pPr>
      <w:r>
        <w:rPr>
          <w:rFonts w:ascii="宋体" w:eastAsia="宋体" w:hAnsi="宋体" w:hint="eastAsia"/>
          <w:b/>
          <w:color w:val="FF0000"/>
          <w:kern w:val="0"/>
          <w:szCs w:val="21"/>
        </w:rPr>
        <w:t>（8）</w:t>
      </w:r>
      <w:r>
        <w:rPr>
          <w:rFonts w:ascii="Calibri" w:eastAsia="宋体" w:hAnsi="Calibri" w:cs="Times New Roman" w:hint="eastAsia"/>
          <w:b/>
          <w:color w:val="FF0000"/>
          <w:szCs w:val="22"/>
        </w:rPr>
        <w:t>《中小企业声明函》中制造商、承接/承建企业所属行业应当与</w:t>
      </w:r>
      <w:r>
        <w:rPr>
          <w:rFonts w:ascii="Calibri" w:eastAsia="宋体" w:hAnsi="Calibri" w:cs="Times New Roman" w:hint="eastAsia"/>
          <w:b/>
          <w:color w:val="FF0000"/>
          <w:szCs w:val="22"/>
          <w:lang w:eastAsia="zh-CN"/>
        </w:rPr>
        <w:t>采购</w:t>
      </w:r>
      <w:r>
        <w:rPr>
          <w:rFonts w:ascii="Calibri" w:eastAsia="宋体" w:hAnsi="Calibri" w:cs="Times New Roman" w:hint="eastAsia"/>
          <w:b/>
          <w:color w:val="FF0000"/>
          <w:szCs w:val="22"/>
        </w:rPr>
        <w:t>文件要求的行业相一致</w:t>
      </w:r>
      <w:r>
        <w:rPr>
          <w:rFonts w:ascii="Calibri" w:eastAsia="宋体" w:hAnsi="Calibri" w:cs="Times New Roman" w:hint="eastAsia"/>
          <w:color w:val="FF0000"/>
          <w:szCs w:val="22"/>
          <w:lang w:eastAsia="zh-CN"/>
        </w:rPr>
        <w:t>。</w:t>
      </w:r>
      <w:r>
        <w:rPr>
          <w:rFonts w:ascii="Calibri" w:eastAsia="宋体" w:hAnsi="Calibri" w:cs="Times New Roman" w:hint="eastAsia"/>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ascii="Calibri" w:eastAsia="宋体" w:hAnsi="Calibri" w:cs="Times New Roman" w:hint="eastAsia"/>
          <w:szCs w:val="22"/>
          <w:lang w:eastAsia="zh-CN"/>
        </w:rPr>
        <w:t>；</w:t>
      </w:r>
    </w:p>
    <w:p>
      <w:pPr>
        <w:widowControl/>
        <w:snapToGrid w:val="0"/>
        <w:spacing w:line="360" w:lineRule="auto"/>
        <w:ind w:left="0" w:firstLine="420" w:leftChars="0" w:firstLineChars="200"/>
        <w:jc w:val="left"/>
        <w:rPr>
          <w:rFonts w:ascii="宋体" w:eastAsia="宋体" w:hAnsi="宋体" w:cs="Times New Roman" w:hint="eastAsia"/>
          <w:kern w:val="0"/>
          <w:szCs w:val="21"/>
          <w:lang w:eastAsia="zh-CN"/>
        </w:rPr>
      </w:pPr>
      <w:r>
        <w:rPr>
          <w:rFonts w:ascii="宋体" w:eastAsia="宋体" w:hAnsi="宋体" w:cs="Times New Roman" w:hint="eastAsia"/>
          <w:b/>
          <w:bCs/>
          <w:color w:val="FF0000"/>
          <w:kern w:val="0"/>
          <w:szCs w:val="21"/>
          <w:lang w:eastAsia="zh-CN"/>
        </w:rPr>
        <w:t>（</w:t>
      </w:r>
      <w:r>
        <w:rPr>
          <w:rFonts w:ascii="宋体" w:eastAsia="宋体" w:hAnsi="宋体" w:cs="Times New Roman" w:hint="eastAsia"/>
          <w:b/>
          <w:bCs/>
          <w:color w:val="FF0000"/>
          <w:kern w:val="0"/>
          <w:szCs w:val="21"/>
          <w:lang w:val="en-US" w:eastAsia="zh-CN"/>
        </w:rPr>
        <w:t>9</w:t>
      </w:r>
      <w:r>
        <w:rPr>
          <w:rFonts w:ascii="宋体" w:eastAsia="宋体" w:hAnsi="宋体" w:cs="Times New Roman" w:hint="eastAsia"/>
          <w:b/>
          <w:bCs/>
          <w:color w:val="FF0000"/>
          <w:kern w:val="0"/>
          <w:szCs w:val="21"/>
          <w:lang w:eastAsia="zh-CN"/>
        </w:rPr>
        <w:t>）声明函正文中“企业名称”应填写投标（响应）的货物制造商/服务承接商/工程承建商（根据项目属性确定）。</w:t>
      </w:r>
      <w:r>
        <w:rPr>
          <w:rFonts w:ascii="宋体" w:eastAsia="宋体" w:hAnsi="宋体" w:cs="Times New Roman" w:hint="eastAsia"/>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ascii="宋体" w:eastAsia="宋体" w:hAnsi="宋体" w:cs="Times New Roman" w:hint="eastAsia"/>
          <w:b/>
          <w:bCs/>
          <w:color w:val="FF0000"/>
          <w:kern w:val="0"/>
          <w:szCs w:val="21"/>
          <w:lang w:eastAsia="zh-CN"/>
        </w:rPr>
        <w:t>【《中小企业声明函》由参加政府采购活动的供应商出具；“</w:t>
      </w:r>
      <w:r>
        <w:rPr>
          <w:rFonts w:ascii="宋体" w:hAnsi="宋体" w:hint="eastAsia"/>
          <w:b/>
          <w:bCs/>
          <w:color w:val="FF0000"/>
          <w:szCs w:val="21"/>
        </w:rPr>
        <w:t>企业名称</w:t>
      </w:r>
      <w:r>
        <w:rPr>
          <w:rFonts w:ascii="宋体" w:hAnsi="宋体"/>
          <w:b/>
          <w:bCs/>
          <w:color w:val="FF0000"/>
          <w:szCs w:val="21"/>
        </w:rPr>
        <w:t>(</w:t>
      </w:r>
      <w:r>
        <w:rPr>
          <w:rFonts w:ascii="宋体" w:hAnsi="宋体" w:hint="eastAsia"/>
          <w:b/>
          <w:bCs/>
          <w:color w:val="FF0000"/>
          <w:szCs w:val="21"/>
        </w:rPr>
        <w:t>公章</w:t>
      </w:r>
      <w:r>
        <w:rPr>
          <w:rFonts w:ascii="宋体" w:hAnsi="宋体"/>
          <w:b/>
          <w:bCs/>
          <w:color w:val="FF0000"/>
          <w:szCs w:val="21"/>
        </w:rPr>
        <w:t>)</w:t>
      </w:r>
      <w:r>
        <w:rPr>
          <w:rFonts w:ascii="宋体" w:eastAsia="宋体" w:hAnsi="宋体" w:cs="Times New Roman" w:hint="eastAsia"/>
          <w:b/>
          <w:bCs/>
          <w:color w:val="FF0000"/>
          <w:kern w:val="0"/>
          <w:szCs w:val="21"/>
          <w:lang w:eastAsia="zh-CN"/>
        </w:rPr>
        <w:t>”只需填写投标（响应）供应商名称】</w:t>
      </w:r>
      <w:r>
        <w:rPr>
          <w:rFonts w:ascii="宋体" w:eastAsia="宋体" w:hAnsi="宋体" w:cs="Times New Roman" w:hint="eastAsia"/>
          <w:kern w:val="0"/>
          <w:szCs w:val="21"/>
          <w:lang w:eastAsia="zh-CN"/>
        </w:rPr>
        <w:t>；</w:t>
      </w:r>
    </w:p>
    <w:p>
      <w:pPr>
        <w:widowControl/>
        <w:snapToGrid w:val="0"/>
        <w:spacing w:line="360" w:lineRule="auto"/>
        <w:ind w:firstLine="424" w:firstLineChars="202"/>
        <w:jc w:val="left"/>
        <w:rPr>
          <w:lang w:val="en-US" w:eastAsia="zh-CN"/>
        </w:rPr>
      </w:pPr>
      <w:r>
        <w:rPr>
          <w:rFonts w:ascii="宋体" w:eastAsia="宋体" w:hAnsi="宋体" w:cs="Times New Roman" w:hint="eastAsia"/>
          <w:kern w:val="0"/>
          <w:szCs w:val="21"/>
          <w:lang w:eastAsia="zh-CN"/>
        </w:rPr>
        <w:t>（</w:t>
      </w:r>
      <w:r>
        <w:rPr>
          <w:rFonts w:ascii="宋体" w:eastAsia="宋体" w:hAnsi="宋体" w:cs="Times New Roman" w:hint="eastAsia"/>
          <w:kern w:val="0"/>
          <w:szCs w:val="21"/>
          <w:lang w:val="en-US" w:eastAsia="zh-CN"/>
        </w:rPr>
        <w:t>10</w:t>
      </w:r>
      <w:r>
        <w:rPr>
          <w:rFonts w:ascii="宋体" w:eastAsia="宋体" w:hAnsi="宋体" w:cs="Times New Roman" w:hint="eastAsia"/>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pPr>
        <w:jc w:val="center"/>
        <w:outlineLvl w:val="3"/>
        <w:rPr>
          <w:rFonts w:ascii="黑体" w:eastAsia="黑体" w:hAnsi="宋体"/>
          <w:bCs/>
          <w:kern w:val="0"/>
          <w:sz w:val="24"/>
          <w:szCs w:val="32"/>
        </w:rPr>
      </w:pPr>
    </w:p>
    <w:p>
      <w:pPr>
        <w:spacing w:after="60"/>
        <w:jc w:val="center"/>
        <w:outlineLvl w:val="3"/>
        <w:rPr>
          <w:b/>
          <w:sz w:val="24"/>
        </w:rPr>
      </w:pPr>
      <w:r>
        <w:rPr>
          <w:rFonts w:hint="eastAsia"/>
          <w:b/>
          <w:sz w:val="24"/>
        </w:rPr>
        <w:t>1、中小企业声明函</w:t>
      </w:r>
    </w:p>
    <w:p>
      <w:pPr>
        <w:pStyle w:val="BodyText"/>
        <w:spacing w:line="360" w:lineRule="exact"/>
        <w:ind w:firstLine="412"/>
        <w:rPr>
          <w:rFonts w:ascii="宋体" w:eastAsia="宋体" w:hAnsi="宋体"/>
          <w:b w:val="0"/>
          <w:sz w:val="21"/>
          <w:szCs w:val="21"/>
        </w:rPr>
      </w:pPr>
      <w:r>
        <w:rPr>
          <w:rFonts w:ascii="宋体" w:eastAsia="宋体" w:hAnsi="宋体"/>
          <w:b w:val="0"/>
          <w:sz w:val="21"/>
          <w:szCs w:val="21"/>
        </w:rPr>
        <w:t>本公司（联合体）郑重声明，根据《政府采购促进中小企业发展管理办法》（财库</w:t>
      </w:r>
      <w:r>
        <w:rPr>
          <w:rFonts w:ascii="宋体" w:eastAsia="宋体" w:hAnsi="宋体" w:hint="eastAsia"/>
          <w:b w:val="0"/>
          <w:sz w:val="21"/>
          <w:szCs w:val="21"/>
        </w:rPr>
        <w:t>﹝</w:t>
      </w:r>
      <w:r>
        <w:rPr>
          <w:rFonts w:ascii="宋体" w:eastAsia="宋体" w:hAnsi="宋体"/>
          <w:b w:val="0"/>
          <w:sz w:val="21"/>
          <w:szCs w:val="21"/>
        </w:rPr>
        <w:t>2020</w:t>
      </w:r>
      <w:r>
        <w:rPr>
          <w:rFonts w:ascii="宋体" w:eastAsia="宋体" w:hAnsi="宋体" w:hint="eastAsia"/>
          <w:b w:val="0"/>
          <w:sz w:val="21"/>
          <w:szCs w:val="21"/>
        </w:rPr>
        <w:t>﹞</w:t>
      </w:r>
      <w:r>
        <w:rPr>
          <w:rFonts w:ascii="宋体" w:eastAsia="宋体" w:hAnsi="宋体"/>
          <w:b w:val="0"/>
          <w:sz w:val="21"/>
          <w:szCs w:val="21"/>
        </w:rPr>
        <w:t>46 号）的规定，本公司（联合体）参加</w:t>
      </w:r>
      <w:r>
        <w:rPr>
          <w:rFonts w:ascii="宋体" w:eastAsia="宋体" w:hAnsi="宋体"/>
          <w:b w:val="0"/>
          <w:sz w:val="21"/>
          <w:szCs w:val="21"/>
          <w:u w:val="single"/>
        </w:rPr>
        <w:t>（单位名称）</w:t>
      </w:r>
      <w:r>
        <w:rPr>
          <w:rFonts w:ascii="宋体" w:eastAsia="宋体" w:hAnsi="宋体"/>
          <w:b w:val="0"/>
          <w:sz w:val="21"/>
          <w:szCs w:val="21"/>
        </w:rPr>
        <w:t>的</w:t>
      </w:r>
      <w:r>
        <w:rPr>
          <w:rFonts w:ascii="宋体" w:eastAsia="宋体" w:hAnsi="宋体"/>
          <w:b w:val="0"/>
          <w:sz w:val="21"/>
          <w:szCs w:val="21"/>
          <w:u w:val="single"/>
        </w:rPr>
        <w:t>（项目名称）</w:t>
      </w:r>
      <w:r>
        <w:rPr>
          <w:rFonts w:ascii="宋体" w:eastAsia="宋体" w:hAnsi="宋体"/>
          <w:b w:val="0"/>
          <w:sz w:val="21"/>
          <w:szCs w:val="21"/>
        </w:rPr>
        <w:t>采购活动，</w:t>
      </w:r>
      <w:r>
        <w:rPr>
          <w:rFonts w:ascii="宋体" w:eastAsia="宋体" w:hAnsi="宋体" w:hint="eastAsia"/>
          <w:b w:val="0"/>
          <w:sz w:val="21"/>
          <w:szCs w:val="21"/>
        </w:rPr>
        <w:t>服务全部由符合政策要求的中小企业承接</w:t>
      </w:r>
      <w:r>
        <w:rPr>
          <w:rFonts w:ascii="宋体" w:eastAsia="宋体" w:hAnsi="宋体"/>
          <w:b w:val="0"/>
          <w:sz w:val="21"/>
          <w:szCs w:val="21"/>
        </w:rPr>
        <w:t>。相关企业（含联合体中的中小企业、签订分包意向协议的中小企业）的具体情况如下：</w:t>
      </w:r>
    </w:p>
    <w:p>
      <w:pPr>
        <w:pStyle w:val="BodyText"/>
        <w:spacing w:line="360" w:lineRule="exact"/>
        <w:ind w:firstLine="412"/>
        <w:rPr>
          <w:rFonts w:ascii="宋体" w:eastAsia="宋体" w:hAnsi="宋体"/>
          <w:b w:val="0"/>
          <w:sz w:val="21"/>
          <w:szCs w:val="21"/>
        </w:rPr>
      </w:pPr>
      <w:r>
        <w:rPr>
          <w:rFonts w:ascii="宋体" w:eastAsia="宋体" w:hAnsi="宋体" w:hint="eastAsia"/>
          <w:b w:val="0"/>
          <w:sz w:val="21"/>
          <w:szCs w:val="21"/>
        </w:rPr>
        <w:t xml:space="preserve">1. </w:t>
      </w:r>
      <w:r>
        <w:rPr>
          <w:rFonts w:ascii="宋体" w:eastAsia="宋体" w:hAnsi="宋体"/>
          <w:b w:val="0"/>
          <w:sz w:val="21"/>
          <w:szCs w:val="21"/>
          <w:u w:val="single"/>
        </w:rPr>
        <w:t>（标的名称）</w:t>
      </w:r>
      <w:r>
        <w:rPr>
          <w:rFonts w:ascii="宋体" w:eastAsia="宋体" w:hAnsi="宋体"/>
          <w:b w:val="0"/>
          <w:sz w:val="21"/>
          <w:szCs w:val="21"/>
        </w:rPr>
        <w:t>，属于</w:t>
      </w:r>
      <w:r>
        <w:rPr>
          <w:rFonts w:ascii="宋体" w:eastAsia="宋体" w:hAnsi="宋体"/>
          <w:b w:val="0"/>
          <w:sz w:val="21"/>
          <w:szCs w:val="21"/>
          <w:u w:val="single"/>
        </w:rPr>
        <w:t>（采购文件中明确的所属行业）</w:t>
      </w:r>
      <w:r>
        <w:rPr>
          <w:rFonts w:ascii="宋体" w:eastAsia="宋体" w:hAnsi="宋体"/>
          <w:b w:val="0"/>
          <w:sz w:val="21"/>
          <w:szCs w:val="21"/>
        </w:rPr>
        <w:t>；承接企业为</w:t>
      </w:r>
      <w:r>
        <w:rPr>
          <w:rFonts w:ascii="宋体" w:eastAsia="宋体" w:hAnsi="宋体"/>
          <w:b w:val="0"/>
          <w:sz w:val="21"/>
          <w:szCs w:val="21"/>
          <w:u w:val="single"/>
        </w:rPr>
        <w:t>（企业名称）</w:t>
      </w:r>
      <w:r>
        <w:rPr>
          <w:rFonts w:ascii="宋体" w:eastAsia="宋体" w:hAnsi="宋体"/>
          <w:b w:val="0"/>
          <w:sz w:val="21"/>
          <w:szCs w:val="21"/>
        </w:rPr>
        <w:t>，从业人员</w:t>
      </w:r>
      <w:r>
        <w:rPr>
          <w:rFonts w:ascii="宋体" w:eastAsia="宋体" w:hAnsi="宋体"/>
          <w:b w:val="0"/>
          <w:sz w:val="21"/>
          <w:szCs w:val="21"/>
          <w:u w:val="single"/>
        </w:rPr>
        <w:t xml:space="preserve"> </w:t>
      </w:r>
      <w:r>
        <w:rPr>
          <w:rFonts w:ascii="宋体" w:eastAsia="宋体" w:hAnsi="宋体"/>
          <w:b w:val="0"/>
          <w:sz w:val="21"/>
          <w:szCs w:val="21"/>
          <w:u w:val="single"/>
        </w:rPr>
        <w:tab/>
      </w:r>
      <w:r>
        <w:rPr>
          <w:rFonts w:ascii="宋体" w:eastAsia="宋体" w:hAnsi="宋体"/>
          <w:b w:val="0"/>
          <w:sz w:val="21"/>
          <w:szCs w:val="21"/>
        </w:rPr>
        <w:t>人，营业收入为</w:t>
      </w:r>
      <w:r>
        <w:rPr>
          <w:rFonts w:ascii="宋体" w:eastAsia="宋体" w:hAnsi="宋体"/>
          <w:b w:val="0"/>
          <w:sz w:val="21"/>
          <w:szCs w:val="21"/>
          <w:u w:val="single"/>
        </w:rPr>
        <w:t xml:space="preserve"> </w:t>
      </w:r>
      <w:r>
        <w:rPr>
          <w:rFonts w:ascii="宋体" w:eastAsia="宋体" w:hAnsi="宋体"/>
          <w:b w:val="0"/>
          <w:sz w:val="21"/>
          <w:szCs w:val="21"/>
          <w:u w:val="single"/>
        </w:rPr>
        <w:tab/>
      </w:r>
      <w:r>
        <w:rPr>
          <w:rFonts w:ascii="宋体" w:eastAsia="宋体" w:hAnsi="宋体" w:hint="eastAsia"/>
          <w:b w:val="0"/>
          <w:sz w:val="21"/>
          <w:szCs w:val="21"/>
          <w:u w:val="single"/>
        </w:rPr>
        <w:t xml:space="preserve">  </w:t>
      </w:r>
      <w:r>
        <w:rPr>
          <w:rFonts w:ascii="宋体" w:eastAsia="宋体" w:hAnsi="宋体"/>
          <w:b w:val="0"/>
          <w:sz w:val="21"/>
          <w:szCs w:val="21"/>
        </w:rPr>
        <w:t>万元，资产总额为</w:t>
      </w:r>
      <w:r>
        <w:rPr>
          <w:rFonts w:ascii="宋体" w:eastAsia="宋体" w:hAnsi="宋体" w:hint="eastAsia"/>
          <w:b w:val="0"/>
          <w:sz w:val="21"/>
          <w:szCs w:val="21"/>
          <w:u w:val="single"/>
        </w:rPr>
        <w:t xml:space="preserve">     </w:t>
      </w:r>
      <w:r>
        <w:rPr>
          <w:rFonts w:ascii="宋体" w:eastAsia="宋体" w:hAnsi="宋体"/>
          <w:b w:val="0"/>
          <w:sz w:val="21"/>
          <w:szCs w:val="21"/>
        </w:rPr>
        <w:t>万元，属于</w:t>
      </w:r>
      <w:r>
        <w:rPr>
          <w:rFonts w:ascii="宋体" w:eastAsia="宋体" w:hAnsi="宋体"/>
          <w:b w:val="0"/>
          <w:sz w:val="21"/>
          <w:szCs w:val="21"/>
          <w:u w:val="single"/>
        </w:rPr>
        <w:t>（中型企业、小型企业、微型企业）</w:t>
      </w:r>
      <w:r>
        <w:rPr>
          <w:rFonts w:ascii="宋体" w:eastAsia="宋体" w:hAnsi="宋体"/>
          <w:b w:val="0"/>
          <w:sz w:val="21"/>
          <w:szCs w:val="21"/>
        </w:rPr>
        <w:t>；</w:t>
      </w:r>
    </w:p>
    <w:p>
      <w:pPr>
        <w:pStyle w:val="BodyText"/>
        <w:spacing w:line="360" w:lineRule="exact"/>
        <w:ind w:firstLine="412"/>
        <w:rPr>
          <w:rFonts w:ascii="宋体" w:eastAsia="宋体" w:hAnsi="宋体"/>
          <w:b w:val="0"/>
          <w:sz w:val="21"/>
          <w:szCs w:val="21"/>
        </w:rPr>
      </w:pPr>
      <w:r>
        <w:rPr>
          <w:rFonts w:ascii="宋体" w:eastAsia="宋体" w:hAnsi="宋体" w:hint="eastAsia"/>
          <w:b w:val="0"/>
          <w:sz w:val="21"/>
          <w:szCs w:val="21"/>
        </w:rPr>
        <w:t xml:space="preserve">2. </w:t>
      </w:r>
      <w:r>
        <w:rPr>
          <w:rFonts w:ascii="宋体" w:eastAsia="宋体" w:hAnsi="宋体"/>
          <w:b w:val="0"/>
          <w:sz w:val="21"/>
          <w:szCs w:val="21"/>
          <w:u w:val="single"/>
        </w:rPr>
        <w:t>（标的名称）</w:t>
      </w:r>
      <w:r>
        <w:rPr>
          <w:rFonts w:ascii="宋体" w:eastAsia="宋体" w:hAnsi="宋体"/>
          <w:b w:val="0"/>
          <w:sz w:val="21"/>
          <w:szCs w:val="21"/>
        </w:rPr>
        <w:t>，属于</w:t>
      </w:r>
      <w:r>
        <w:rPr>
          <w:rFonts w:ascii="宋体" w:eastAsia="宋体" w:hAnsi="宋体"/>
          <w:b w:val="0"/>
          <w:sz w:val="21"/>
          <w:szCs w:val="21"/>
          <w:u w:val="single"/>
        </w:rPr>
        <w:t>（采购文件中明确的所属行业）</w:t>
      </w:r>
      <w:r>
        <w:rPr>
          <w:rFonts w:ascii="宋体" w:eastAsia="宋体" w:hAnsi="宋体"/>
          <w:b w:val="0"/>
          <w:sz w:val="21"/>
          <w:szCs w:val="21"/>
        </w:rPr>
        <w:t>；承接企业为</w:t>
      </w:r>
      <w:r>
        <w:rPr>
          <w:rFonts w:ascii="宋体" w:eastAsia="宋体" w:hAnsi="宋体"/>
          <w:b w:val="0"/>
          <w:sz w:val="21"/>
          <w:szCs w:val="21"/>
          <w:u w:val="single"/>
        </w:rPr>
        <w:t>（企业名称）</w:t>
      </w:r>
      <w:r>
        <w:rPr>
          <w:rFonts w:ascii="宋体" w:eastAsia="宋体" w:hAnsi="宋体"/>
          <w:b w:val="0"/>
          <w:sz w:val="21"/>
          <w:szCs w:val="21"/>
        </w:rPr>
        <w:t>，从业人员</w:t>
      </w:r>
      <w:r>
        <w:rPr>
          <w:rFonts w:ascii="宋体" w:eastAsia="宋体" w:hAnsi="宋体"/>
          <w:b w:val="0"/>
          <w:sz w:val="21"/>
          <w:szCs w:val="21"/>
          <w:u w:val="single"/>
        </w:rPr>
        <w:t xml:space="preserve"> </w:t>
      </w:r>
      <w:r>
        <w:rPr>
          <w:rFonts w:ascii="宋体" w:eastAsia="宋体" w:hAnsi="宋体"/>
          <w:b w:val="0"/>
          <w:sz w:val="21"/>
          <w:szCs w:val="21"/>
          <w:u w:val="single"/>
        </w:rPr>
        <w:tab/>
      </w:r>
      <w:r>
        <w:rPr>
          <w:rFonts w:ascii="宋体" w:eastAsia="宋体" w:hAnsi="宋体"/>
          <w:b w:val="0"/>
          <w:sz w:val="21"/>
          <w:szCs w:val="21"/>
        </w:rPr>
        <w:t>人，营业收入为</w:t>
      </w:r>
      <w:r>
        <w:rPr>
          <w:rFonts w:ascii="宋体" w:eastAsia="宋体" w:hAnsi="宋体"/>
          <w:b w:val="0"/>
          <w:sz w:val="21"/>
          <w:szCs w:val="21"/>
          <w:u w:val="single"/>
        </w:rPr>
        <w:t xml:space="preserve"> </w:t>
      </w:r>
      <w:r>
        <w:rPr>
          <w:rFonts w:ascii="宋体" w:eastAsia="宋体" w:hAnsi="宋体"/>
          <w:b w:val="0"/>
          <w:sz w:val="21"/>
          <w:szCs w:val="21"/>
          <w:u w:val="single"/>
        </w:rPr>
        <w:tab/>
      </w:r>
      <w:r>
        <w:rPr>
          <w:rFonts w:ascii="宋体" w:eastAsia="宋体" w:hAnsi="宋体" w:hint="eastAsia"/>
          <w:b w:val="0"/>
          <w:sz w:val="21"/>
          <w:szCs w:val="21"/>
          <w:u w:val="single"/>
        </w:rPr>
        <w:t xml:space="preserve">  </w:t>
      </w:r>
      <w:r>
        <w:rPr>
          <w:rFonts w:ascii="宋体" w:eastAsia="宋体" w:hAnsi="宋体"/>
          <w:b w:val="0"/>
          <w:sz w:val="21"/>
          <w:szCs w:val="21"/>
        </w:rPr>
        <w:t>万元，资产总额为</w:t>
      </w:r>
      <w:r>
        <w:rPr>
          <w:rFonts w:ascii="宋体" w:eastAsia="宋体" w:hAnsi="宋体" w:hint="eastAsia"/>
          <w:b w:val="0"/>
          <w:sz w:val="21"/>
          <w:szCs w:val="21"/>
          <w:u w:val="single"/>
        </w:rPr>
        <w:t xml:space="preserve">     </w:t>
      </w:r>
      <w:r>
        <w:rPr>
          <w:rFonts w:ascii="宋体" w:eastAsia="宋体" w:hAnsi="宋体"/>
          <w:b w:val="0"/>
          <w:sz w:val="21"/>
          <w:szCs w:val="21"/>
        </w:rPr>
        <w:t>万元，属于</w:t>
      </w:r>
      <w:r>
        <w:rPr>
          <w:rFonts w:ascii="宋体" w:eastAsia="宋体" w:hAnsi="宋体"/>
          <w:b w:val="0"/>
          <w:sz w:val="21"/>
          <w:szCs w:val="21"/>
          <w:u w:val="single"/>
        </w:rPr>
        <w:t>（中型企业、小型企业、微型企业）</w:t>
      </w:r>
      <w:r>
        <w:rPr>
          <w:rFonts w:ascii="宋体" w:eastAsia="宋体" w:hAnsi="宋体"/>
          <w:b w:val="0"/>
          <w:sz w:val="21"/>
          <w:szCs w:val="21"/>
        </w:rPr>
        <w:t>；</w:t>
      </w:r>
    </w:p>
    <w:p>
      <w:pPr>
        <w:pStyle w:val="BodyText"/>
        <w:spacing w:before="11" w:line="360" w:lineRule="exact"/>
        <w:ind w:firstLine="424" w:firstLineChars="202"/>
        <w:rPr>
          <w:rFonts w:ascii="宋体" w:eastAsia="宋体" w:hAnsi="宋体"/>
          <w:b w:val="0"/>
          <w:sz w:val="21"/>
          <w:szCs w:val="21"/>
        </w:rPr>
      </w:pPr>
      <w:r>
        <w:rPr>
          <w:rFonts w:ascii="宋体" w:eastAsia="宋体" w:hAnsi="宋体"/>
          <w:b w:val="0"/>
          <w:sz w:val="21"/>
          <w:szCs w:val="21"/>
        </w:rPr>
        <w:t>……</w:t>
      </w:r>
    </w:p>
    <w:p>
      <w:pPr>
        <w:pStyle w:val="BodyText"/>
        <w:spacing w:before="108" w:line="360" w:lineRule="exact"/>
        <w:ind w:firstLine="408"/>
        <w:rPr>
          <w:rFonts w:ascii="宋体" w:eastAsia="宋体" w:hAnsi="宋体"/>
          <w:b w:val="0"/>
          <w:sz w:val="21"/>
          <w:szCs w:val="21"/>
        </w:rPr>
      </w:pPr>
      <w:r>
        <w:rPr>
          <w:rFonts w:ascii="宋体" w:eastAsia="宋体" w:hAnsi="宋体"/>
          <w:b w:val="0"/>
          <w:sz w:val="21"/>
          <w:szCs w:val="21"/>
        </w:rPr>
        <w:t>以上企业，不属于大企业的分支机构，不存在控股股东为大企业的情形，也不存在与大企业的负责人为同一人的情形。</w:t>
      </w:r>
    </w:p>
    <w:p>
      <w:pPr>
        <w:spacing w:line="360" w:lineRule="exact"/>
        <w:ind w:firstLine="420" w:firstLineChars="200"/>
        <w:rPr>
          <w:rFonts w:ascii="宋体" w:eastAsia="宋体" w:hAnsi="宋体"/>
          <w:szCs w:val="21"/>
        </w:rPr>
      </w:pPr>
      <w:r>
        <w:rPr>
          <w:rFonts w:ascii="宋体" w:eastAsia="宋体" w:hAnsi="宋体"/>
          <w:szCs w:val="21"/>
        </w:rPr>
        <w:t>本企业对上述声明内容的真实性负责。如有虚假，将依法承担相应责任</w:t>
      </w:r>
      <w:r>
        <w:rPr>
          <w:rFonts w:ascii="宋体" w:eastAsia="宋体" w:hAnsi="宋体" w:hint="eastAsia"/>
          <w:szCs w:val="21"/>
        </w:rPr>
        <w:t>。</w:t>
      </w:r>
    </w:p>
    <w:p>
      <w:pPr>
        <w:spacing w:line="360" w:lineRule="exact"/>
        <w:ind w:firstLine="420" w:firstLineChars="200"/>
        <w:rPr>
          <w:rFonts w:ascii="宋体" w:eastAsia="宋体" w:hAnsi="宋体"/>
          <w:szCs w:val="21"/>
        </w:rPr>
      </w:pPr>
      <w:r>
        <w:rPr>
          <w:rFonts w:ascii="宋体" w:eastAsia="宋体" w:hAnsi="宋体" w:hint="eastAsia"/>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spacing w:line="360" w:lineRule="exact"/>
        <w:ind w:firstLine="420" w:firstLineChars="200"/>
        <w:rPr>
          <w:rFonts w:ascii="宋体" w:eastAsia="宋体" w:hAnsi="宋体"/>
          <w:szCs w:val="21"/>
        </w:rPr>
      </w:pPr>
    </w:p>
    <w:p>
      <w:pPr>
        <w:spacing w:line="360" w:lineRule="exact"/>
        <w:jc w:val="center"/>
        <w:rPr>
          <w:rFonts w:ascii="Times New Roman" w:hAnsi="Times New Roman"/>
          <w:szCs w:val="24"/>
        </w:rPr>
      </w:pPr>
      <w:r>
        <w:rPr>
          <w:rFonts w:ascii="Times New Roman" w:hAnsi="Times New Roman" w:hint="eastAsia"/>
          <w:szCs w:val="21"/>
        </w:rPr>
        <w:t xml:space="preserve">                           企业名称：</w:t>
      </w:r>
    </w:p>
    <w:p>
      <w:pPr>
        <w:spacing w:line="360" w:lineRule="exact"/>
        <w:rPr>
          <w:rFonts w:ascii="宋体" w:hAnsi="宋体"/>
          <w:szCs w:val="21"/>
        </w:rPr>
      </w:pPr>
      <w:r>
        <w:rPr>
          <w:rFonts w:ascii="宋体" w:hAnsi="宋体" w:hint="eastAsia"/>
          <w:szCs w:val="21"/>
        </w:rPr>
        <w:t xml:space="preserve">                                                         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pPr>
        <w:spacing w:line="360" w:lineRule="exact"/>
        <w:ind w:firstLine="420" w:firstLineChars="200"/>
        <w:rPr>
          <w:rFonts w:ascii="宋体" w:hAnsi="宋体"/>
          <w:szCs w:val="21"/>
        </w:rPr>
      </w:pPr>
      <w:r>
        <w:rPr>
          <w:rFonts w:ascii="宋体" w:hAnsi="宋体" w:hint="eastAsia"/>
          <w:szCs w:val="21"/>
        </w:rPr>
        <w:t>备注：</w:t>
      </w:r>
    </w:p>
    <w:p>
      <w:pPr>
        <w:spacing w:line="360" w:lineRule="exact"/>
        <w:ind w:firstLine="420" w:firstLineChars="200"/>
        <w:rPr>
          <w:rFonts w:ascii="宋体" w:hAnsi="宋体"/>
          <w:szCs w:val="21"/>
        </w:rPr>
      </w:pPr>
      <w:r>
        <w:rPr>
          <w:rFonts w:ascii="宋体" w:hAnsi="宋体" w:hint="eastAsia"/>
          <w:szCs w:val="21"/>
        </w:rPr>
        <w:t>1、填写前请认真阅读《工业和信息化部、国家统计局、国家发展和改革委员会、财政部关于印发中小企业划型标准规定的通知》</w:t>
      </w:r>
      <w:r>
        <w:rPr>
          <w:rFonts w:ascii="宋体" w:hAnsi="宋体"/>
          <w:szCs w:val="21"/>
        </w:rPr>
        <w:t>(</w:t>
      </w:r>
      <w:r>
        <w:rPr>
          <w:rFonts w:ascii="宋体" w:hAnsi="宋体" w:hint="eastAsia"/>
          <w:szCs w:val="21"/>
        </w:rPr>
        <w:t>工信部联企业〔</w:t>
      </w:r>
      <w:r>
        <w:rPr>
          <w:rFonts w:ascii="宋体" w:hAnsi="宋体"/>
          <w:szCs w:val="21"/>
        </w:rPr>
        <w:t>2011</w:t>
      </w:r>
      <w:r>
        <w:rPr>
          <w:rFonts w:ascii="宋体" w:hAnsi="宋体" w:hint="eastAsia"/>
          <w:szCs w:val="21"/>
        </w:rPr>
        <w:t>〕</w:t>
      </w:r>
      <w:r>
        <w:rPr>
          <w:rFonts w:ascii="宋体" w:hAnsi="宋体"/>
          <w:szCs w:val="21"/>
        </w:rPr>
        <w:t>300</w:t>
      </w:r>
      <w:r>
        <w:rPr>
          <w:rFonts w:ascii="宋体" w:hAnsi="宋体" w:hint="eastAsia"/>
          <w:szCs w:val="21"/>
        </w:rPr>
        <w:t>号</w:t>
      </w:r>
      <w:r>
        <w:rPr>
          <w:rFonts w:ascii="宋体" w:hAnsi="宋体"/>
          <w:szCs w:val="21"/>
        </w:rPr>
        <w:t>)</w:t>
      </w:r>
      <w:r>
        <w:rPr>
          <w:rFonts w:ascii="宋体" w:hAnsi="宋体" w:hint="eastAsia"/>
          <w:szCs w:val="21"/>
        </w:rPr>
        <w:t>和《财政部 工业和信息化部关于印发《政府采购促进中小企业发展管理办法》的通知》</w:t>
      </w:r>
      <w:r>
        <w:rPr>
          <w:rFonts w:ascii="宋体" w:hAnsi="宋体"/>
          <w:szCs w:val="21"/>
        </w:rPr>
        <w:t>(</w:t>
      </w:r>
      <w:r>
        <w:rPr>
          <w:rFonts w:ascii="宋体" w:hAnsi="宋体" w:hint="eastAsia"/>
          <w:szCs w:val="21"/>
        </w:rPr>
        <w:t>财库〔2020〕46号</w:t>
      </w:r>
      <w:r>
        <w:rPr>
          <w:rFonts w:ascii="宋体" w:hAnsi="宋体"/>
          <w:szCs w:val="21"/>
        </w:rPr>
        <w:t>)</w:t>
      </w:r>
      <w:r>
        <w:rPr>
          <w:rFonts w:ascii="宋体" w:hAnsi="宋体" w:hint="eastAsia"/>
          <w:szCs w:val="21"/>
        </w:rPr>
        <w:t>相关规定。</w:t>
      </w:r>
    </w:p>
    <w:p>
      <w:pPr>
        <w:spacing w:line="360" w:lineRule="exact"/>
        <w:ind w:firstLine="424" w:firstLineChars="202"/>
        <w:rPr>
          <w:rFonts w:ascii="宋体" w:hAnsi="宋体"/>
          <w:szCs w:val="21"/>
        </w:rPr>
      </w:pPr>
      <w:r>
        <w:rPr>
          <w:rFonts w:ascii="宋体" w:hAnsi="宋体" w:hint="eastAsia"/>
          <w:szCs w:val="21"/>
        </w:rPr>
        <w:t>2、从业人员、营业收入、资产总额填报上一年度数据，无上一年度数据的新成立企业可不填报。</w:t>
      </w:r>
    </w:p>
    <w:p>
      <w:pPr>
        <w:spacing w:line="360" w:lineRule="exact"/>
        <w:ind w:firstLine="424" w:firstLineChars="202"/>
        <w:rPr>
          <w:rFonts w:ascii="宋体" w:eastAsia="宋体" w:hAnsi="宋体" w:cs="Times New Roman"/>
        </w:rPr>
      </w:pPr>
      <w:r>
        <w:rPr>
          <w:rFonts w:ascii="宋体" w:eastAsia="宋体" w:hAnsi="宋体" w:cs="Times New Roman" w:hint="eastAsia"/>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ascii="宋体" w:eastAsia="宋体" w:hAnsi="宋体" w:cs="Times New Roman" w:hint="eastAsia"/>
          <w:b/>
        </w:rPr>
        <w:t>《中小企业声明函》中相关企业所属行业应当与采购标的所属行业相一致</w:t>
      </w:r>
      <w:r>
        <w:rPr>
          <w:rFonts w:ascii="宋体" w:eastAsia="宋体" w:hAnsi="宋体" w:cs="Times New Roman" w:hint="eastAsia"/>
        </w:rPr>
        <w:t>。</w:t>
      </w:r>
    </w:p>
    <w:p>
      <w:pPr>
        <w:spacing w:line="360" w:lineRule="exact"/>
        <w:ind w:firstLine="424" w:firstLineChars="202"/>
        <w:rPr>
          <w:rFonts w:ascii="Calibri" w:eastAsia="宋体" w:hAnsi="Calibri" w:cs="Times New Roman"/>
        </w:rPr>
      </w:pPr>
      <w:r>
        <w:rPr>
          <w:rFonts w:ascii="Calibri" w:eastAsia="宋体" w:hAnsi="Calibri" w:cs="Times New Roman" w:hint="eastAsia"/>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pacing w:line="360" w:lineRule="exact"/>
        <w:ind w:firstLine="420" w:firstLineChars="200"/>
        <w:rPr>
          <w:rFonts w:ascii="宋体" w:hAnsi="宋体"/>
          <w:szCs w:val="21"/>
        </w:rPr>
      </w:pPr>
    </w:p>
    <w:p>
      <w:pPr>
        <w:spacing w:after="60" w:line="360" w:lineRule="exact"/>
        <w:jc w:val="center"/>
        <w:outlineLvl w:val="3"/>
        <w:rPr>
          <w:b/>
          <w:sz w:val="24"/>
        </w:rPr>
      </w:pPr>
      <w:r>
        <w:rPr>
          <w:rFonts w:hint="eastAsia"/>
          <w:b/>
          <w:sz w:val="24"/>
        </w:rPr>
        <w:t>2、监狱企业声明函</w:t>
      </w:r>
    </w:p>
    <w:p>
      <w:pPr>
        <w:spacing w:after="60" w:line="360" w:lineRule="exact"/>
        <w:ind w:firstLine="420" w:firstLineChars="200"/>
        <w:rPr>
          <w:rFonts w:ascii="宋体" w:hAnsi="宋体"/>
          <w:szCs w:val="21"/>
        </w:rPr>
      </w:pPr>
      <w:r>
        <w:rPr>
          <w:rFonts w:ascii="宋体" w:hAnsi="宋体" w:hint="eastAsia"/>
          <w:szCs w:val="21"/>
        </w:rPr>
        <w:t>本单位郑重声明，根据《关于政府采购支持监狱企业发展有关问题的通知》（财库〔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号）的规定，本单位为符合条件的监狱企业。</w:t>
      </w:r>
    </w:p>
    <w:p>
      <w:pPr>
        <w:spacing w:after="60" w:line="360" w:lineRule="exact"/>
        <w:ind w:firstLine="420" w:firstLineChars="200"/>
        <w:rPr>
          <w:rFonts w:ascii="宋体" w:hAnsi="宋体"/>
          <w:szCs w:val="21"/>
        </w:rPr>
      </w:pPr>
      <w:r>
        <w:rPr>
          <w:rFonts w:ascii="宋体" w:hAnsi="宋体" w:hint="eastAsia"/>
          <w:szCs w:val="21"/>
        </w:rPr>
        <w:t>本单位对上述声明的真实性负责。如有虚假，将依法承担相应责任。</w:t>
      </w:r>
    </w:p>
    <w:p>
      <w:pPr>
        <w:spacing w:line="360" w:lineRule="exact"/>
        <w:jc w:val="center"/>
      </w:pPr>
      <w:r>
        <w:rPr>
          <w:rFonts w:hint="eastAsia"/>
          <w:szCs w:val="21"/>
        </w:rPr>
        <w:t xml:space="preserve">                             单位名称：</w:t>
      </w:r>
    </w:p>
    <w:p>
      <w:pPr>
        <w:spacing w:line="360" w:lineRule="exact"/>
        <w:rPr>
          <w:rFonts w:ascii="宋体" w:hAnsi="宋体"/>
          <w:szCs w:val="21"/>
        </w:rPr>
      </w:pPr>
      <w:r>
        <w:rPr>
          <w:rFonts w:ascii="宋体" w:hAnsi="宋体" w:hint="eastAsia"/>
          <w:szCs w:val="21"/>
        </w:rPr>
        <w:t xml:space="preserve">                                                      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pPr>
        <w:spacing w:line="360" w:lineRule="exact"/>
        <w:ind w:firstLine="645"/>
        <w:rPr>
          <w:rFonts w:ascii="宋体"/>
          <w:b/>
          <w:szCs w:val="21"/>
        </w:rPr>
      </w:pPr>
      <w:r>
        <w:rPr>
          <w:rFonts w:ascii="宋体" w:hAnsi="宋体" w:hint="eastAsia"/>
          <w:szCs w:val="21"/>
        </w:rPr>
        <w:t xml:space="preserve">                                    </w:t>
      </w:r>
    </w:p>
    <w:p>
      <w:pPr>
        <w:spacing w:after="60" w:line="360" w:lineRule="exact"/>
        <w:ind w:firstLine="420" w:firstLineChars="200"/>
        <w:rPr>
          <w:rFonts w:ascii="宋体" w:hAnsi="宋体"/>
          <w:b/>
          <w:szCs w:val="21"/>
        </w:rPr>
      </w:pPr>
      <w:r>
        <w:rPr>
          <w:rFonts w:ascii="宋体" w:hAnsi="宋体" w:hint="eastAsia"/>
          <w:b/>
          <w:szCs w:val="21"/>
        </w:rPr>
        <w:t>附：省级以上监狱管理局、戒毒管理局（含新疆生产建设兵团）出具的监狱企业证明文件。</w:t>
      </w:r>
    </w:p>
    <w:p>
      <w:pPr>
        <w:ind w:left="723" w:hanging="630" w:hangingChars="300"/>
        <w:rPr>
          <w:b/>
          <w:sz w:val="24"/>
        </w:rPr>
      </w:pPr>
    </w:p>
    <w:p>
      <w:pPr>
        <w:spacing w:line="360" w:lineRule="exact"/>
        <w:ind w:firstLine="424" w:firstLineChars="202"/>
        <w:rPr>
          <w:rFonts w:ascii="宋体" w:hAnsi="宋体"/>
          <w:szCs w:val="21"/>
        </w:rPr>
      </w:pPr>
      <w:r>
        <w:rPr>
          <w:rFonts w:ascii="宋体" w:hAnsi="宋体" w:hint="eastAsia"/>
          <w:szCs w:val="21"/>
        </w:rPr>
        <w:t>备注：填写前请认真阅读《财政部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pPr>
        <w:spacing w:after="60" w:line="360" w:lineRule="exact"/>
        <w:ind w:firstLine="420" w:firstLineChars="200"/>
        <w:rPr>
          <w:rFonts w:ascii="宋体" w:hAnsi="宋体"/>
          <w:szCs w:val="21"/>
        </w:rPr>
      </w:pPr>
      <w:r>
        <w:rPr>
          <w:rFonts w:ascii="宋体" w:hAnsi="宋体" w:hint="eastAsia"/>
          <w:szCs w:val="21"/>
        </w:rPr>
        <w:t xml:space="preserve">                                     </w:t>
      </w:r>
    </w:p>
    <w:p>
      <w:pPr>
        <w:spacing w:after="60" w:line="360" w:lineRule="exact"/>
        <w:jc w:val="center"/>
        <w:outlineLvl w:val="3"/>
        <w:rPr>
          <w:b/>
          <w:bCs/>
        </w:rPr>
      </w:pPr>
      <w:r>
        <w:rPr>
          <w:rFonts w:hint="eastAsia"/>
          <w:b/>
          <w:sz w:val="24"/>
        </w:rPr>
        <w:t>3、残疾人福利性单位声明函</w:t>
      </w:r>
    </w:p>
    <w:p>
      <w:pPr>
        <w:spacing w:line="360" w:lineRule="exact"/>
        <w:ind w:firstLine="420" w:firstLineChars="200"/>
        <w:jc w:val="left"/>
        <w:rPr>
          <w:rFonts w:ascii="宋体" w:hAnsi="宋体"/>
          <w:szCs w:val="21"/>
        </w:rPr>
      </w:pPr>
      <w:r>
        <w:rPr>
          <w:rFonts w:ascii="宋体" w:hAnsi="宋体" w:hint="eastAsia"/>
          <w:szCs w:val="21"/>
        </w:rPr>
        <w:t>本单位郑重声明，根据《财政部 民政部 中国残疾人联合会关于促进残疾人就业政府采购政策的通知》（财库〔2017〕 141号）的规定，本单位为符合条件的残疾人福利性单位，且本单位参加</w:t>
      </w:r>
      <w:r>
        <w:rPr>
          <w:rFonts w:ascii="宋体" w:hAnsi="宋体" w:hint="eastAsia"/>
          <w:szCs w:val="21"/>
          <w:u w:val="single"/>
        </w:rPr>
        <w:t xml:space="preserve">    </w:t>
      </w:r>
      <w:r>
        <w:rPr>
          <w:rFonts w:ascii="宋体" w:hAnsi="宋体" w:hint="eastAsia"/>
          <w:szCs w:val="21"/>
        </w:rPr>
        <w:t>单位的</w:t>
      </w:r>
      <w:r>
        <w:rPr>
          <w:rFonts w:ascii="宋体" w:hAnsi="宋体" w:hint="eastAsia"/>
          <w:szCs w:val="21"/>
          <w:u w:val="single"/>
        </w:rPr>
        <w:t xml:space="preserve">            </w:t>
      </w:r>
      <w:r>
        <w:rPr>
          <w:rFonts w:ascii="宋体" w:hAnsi="宋体" w:hint="eastAsia"/>
          <w:szCs w:val="21"/>
        </w:rPr>
        <w:t>项目采购活动，由本单位提供服务。</w:t>
      </w:r>
    </w:p>
    <w:p>
      <w:pPr>
        <w:spacing w:after="60" w:line="360" w:lineRule="exact"/>
        <w:ind w:firstLine="420" w:firstLineChars="200"/>
        <w:rPr>
          <w:rFonts w:ascii="宋体" w:hAnsi="宋体"/>
          <w:szCs w:val="21"/>
        </w:rPr>
      </w:pPr>
      <w:r>
        <w:rPr>
          <w:rFonts w:ascii="宋体" w:hAnsi="宋体" w:hint="eastAsia"/>
          <w:szCs w:val="21"/>
        </w:rPr>
        <w:t>本单位对上述声明的真实性负责。如有虚假，将依法承担相应责任。</w:t>
      </w:r>
    </w:p>
    <w:p>
      <w:pPr>
        <w:spacing w:after="60" w:line="360" w:lineRule="exact"/>
        <w:ind w:firstLine="420" w:firstLineChars="200"/>
        <w:rPr>
          <w:rFonts w:ascii="宋体" w:hAnsi="宋体"/>
          <w:szCs w:val="21"/>
        </w:rPr>
      </w:pPr>
      <w:r>
        <w:rPr>
          <w:rFonts w:ascii="宋体" w:hAnsi="宋体" w:hint="eastAsia"/>
          <w:szCs w:val="21"/>
        </w:rPr>
        <w:t>本单位知悉《关于促进残疾人就业政府采购政策的通知》（财库〔2017〕141 号）的规定，承诺提供的声明函内容是真实的，如提供声明函内容不实，则依法追究相关法律责任。</w:t>
      </w:r>
    </w:p>
    <w:p>
      <w:pPr>
        <w:spacing w:line="360" w:lineRule="exact"/>
        <w:jc w:val="center"/>
      </w:pPr>
      <w:r>
        <w:rPr>
          <w:rFonts w:hint="eastAsia"/>
          <w:szCs w:val="21"/>
        </w:rPr>
        <w:t xml:space="preserve">                             单位名称：</w:t>
      </w:r>
    </w:p>
    <w:p>
      <w:pPr>
        <w:spacing w:line="360" w:lineRule="exact"/>
        <w:rPr>
          <w:rFonts w:ascii="宋体" w:hAnsi="宋体"/>
          <w:szCs w:val="21"/>
        </w:rPr>
      </w:pPr>
      <w:r>
        <w:rPr>
          <w:rFonts w:ascii="宋体" w:hAnsi="宋体" w:hint="eastAsia"/>
          <w:szCs w:val="21"/>
        </w:rPr>
        <w:t xml:space="preserve">                                                      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pPr>
        <w:spacing w:line="360" w:lineRule="exact"/>
        <w:ind w:firstLine="424" w:firstLineChars="202"/>
        <w:rPr>
          <w:rFonts w:ascii="宋体" w:hAnsi="宋体"/>
          <w:szCs w:val="21"/>
        </w:rPr>
      </w:pPr>
      <w:r>
        <w:rPr>
          <w:rFonts w:ascii="宋体" w:hAnsi="宋体" w:hint="eastAsia"/>
          <w:szCs w:val="21"/>
        </w:rPr>
        <w:t>备注：填写前请认真阅读《财政部 民政部 中国残疾人联合会关于促进残疾人就业政府采购政策的通知》</w:t>
      </w:r>
      <w:r>
        <w:rPr>
          <w:rFonts w:ascii="宋体" w:hAnsi="宋体"/>
          <w:szCs w:val="21"/>
        </w:rPr>
        <w:t>(</w:t>
      </w:r>
      <w:r>
        <w:rPr>
          <w:rFonts w:ascii="宋体" w:hAnsi="宋体" w:hint="eastAsia"/>
          <w:szCs w:val="21"/>
        </w:rPr>
        <w:t>财库〔2017〕141号</w:t>
      </w:r>
      <w:r>
        <w:rPr>
          <w:rFonts w:ascii="宋体" w:hAnsi="宋体"/>
          <w:szCs w:val="21"/>
        </w:rPr>
        <w:t>)</w:t>
      </w:r>
      <w:r>
        <w:rPr>
          <w:rFonts w:ascii="宋体" w:hAnsi="宋体" w:hint="eastAsia"/>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pPr>
        <w:keepNext/>
        <w:keepLines/>
        <w:tabs>
          <w:tab w:val="left" w:pos="0"/>
        </w:tabs>
        <w:spacing w:before="280" w:after="290" w:line="376" w:lineRule="auto"/>
        <w:jc w:val="center"/>
        <w:outlineLvl w:val="3"/>
        <w:rPr>
          <w:rFonts w:ascii="宋体" w:hAnsi="宋体"/>
          <w:b/>
          <w:bCs/>
          <w:sz w:val="28"/>
          <w:szCs w:val="28"/>
        </w:rPr>
      </w:pPr>
      <w:r>
        <w:rPr>
          <w:rFonts w:ascii="宋体" w:hAnsi="宋体" w:hint="eastAsia"/>
          <w:b/>
          <w:bCs/>
          <w:sz w:val="28"/>
          <w:szCs w:val="28"/>
        </w:rPr>
        <w:t>列入政府优先采购清单的投标产品一览表</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4"/>
          <w:jc w:val="center"/>
        </w:trPr>
        <w:tc>
          <w:tcPr>
            <w:tcW w:w="540" w:type="dxa"/>
            <w:vMerge w:val="restart"/>
            <w:noWrap w:val="0"/>
            <w:vAlign w:val="center"/>
          </w:tcPr>
          <w:p>
            <w:pPr>
              <w:jc w:val="center"/>
              <w:rPr>
                <w:rFonts w:ascii="Times New Roman" w:hAnsi="Times New Roman"/>
                <w:b/>
                <w:szCs w:val="21"/>
              </w:rPr>
            </w:pPr>
            <w:r>
              <w:rPr>
                <w:rFonts w:ascii="Times New Roman" w:hAnsi="Times New Roman" w:hint="eastAsia"/>
                <w:b/>
                <w:szCs w:val="21"/>
              </w:rPr>
              <w:t>序号</w:t>
            </w:r>
          </w:p>
        </w:tc>
        <w:tc>
          <w:tcPr>
            <w:tcW w:w="1213" w:type="dxa"/>
            <w:vMerge w:val="restart"/>
            <w:noWrap w:val="0"/>
            <w:vAlign w:val="center"/>
          </w:tcPr>
          <w:p>
            <w:pPr>
              <w:jc w:val="center"/>
              <w:rPr>
                <w:rFonts w:ascii="Times New Roman" w:hAnsi="Times New Roman"/>
                <w:b/>
                <w:szCs w:val="21"/>
              </w:rPr>
            </w:pPr>
            <w:r>
              <w:rPr>
                <w:rFonts w:ascii="Times New Roman" w:hAnsi="Times New Roman" w:hint="eastAsia"/>
                <w:b/>
                <w:szCs w:val="21"/>
              </w:rPr>
              <w:t>投标产品名称</w:t>
            </w:r>
          </w:p>
        </w:tc>
        <w:tc>
          <w:tcPr>
            <w:tcW w:w="1840" w:type="dxa"/>
            <w:vMerge w:val="restart"/>
            <w:noWrap w:val="0"/>
            <w:vAlign w:val="center"/>
          </w:tcPr>
          <w:p>
            <w:pPr>
              <w:jc w:val="center"/>
              <w:rPr>
                <w:rFonts w:ascii="Times New Roman" w:hAnsi="Times New Roman"/>
                <w:b/>
                <w:szCs w:val="21"/>
              </w:rPr>
            </w:pPr>
            <w:r>
              <w:rPr>
                <w:rFonts w:ascii="Times New Roman" w:hAnsi="Times New Roman" w:hint="eastAsia"/>
                <w:b/>
                <w:szCs w:val="21"/>
              </w:rPr>
              <w:t>规格及型号</w:t>
            </w:r>
          </w:p>
        </w:tc>
        <w:tc>
          <w:tcPr>
            <w:tcW w:w="4351" w:type="dxa"/>
            <w:gridSpan w:val="3"/>
            <w:noWrap w:val="0"/>
            <w:vAlign w:val="center"/>
          </w:tcPr>
          <w:p>
            <w:pPr>
              <w:jc w:val="center"/>
              <w:rPr>
                <w:rFonts w:ascii="Times New Roman" w:hAnsi="Times New Roman"/>
                <w:b/>
                <w:szCs w:val="21"/>
              </w:rPr>
            </w:pPr>
            <w:r>
              <w:rPr>
                <w:rFonts w:ascii="Times New Roman" w:hAnsi="Times New Roman" w:hint="eastAsia"/>
                <w:b/>
                <w:szCs w:val="21"/>
              </w:rPr>
              <w:t>投标产品报价</w:t>
            </w:r>
          </w:p>
        </w:tc>
        <w:tc>
          <w:tcPr>
            <w:tcW w:w="1503" w:type="dxa"/>
            <w:vMerge w:val="restart"/>
            <w:noWrap w:val="0"/>
            <w:vAlign w:val="center"/>
          </w:tcPr>
          <w:p>
            <w:pPr>
              <w:jc w:val="center"/>
              <w:rPr>
                <w:rFonts w:ascii="Times New Roman" w:hAnsi="Times New Roman"/>
                <w:b/>
                <w:szCs w:val="21"/>
              </w:rPr>
            </w:pPr>
            <w:r>
              <w:rPr>
                <w:rFonts w:ascii="Times New Roman" w:hAnsi="Times New Roman" w:hint="eastAsia"/>
                <w:b/>
                <w:szCs w:val="21"/>
              </w:rPr>
              <w:t>属于优先采购清单的类别</w:t>
            </w:r>
          </w:p>
        </w:tc>
        <w:tc>
          <w:tcPr>
            <w:tcW w:w="720" w:type="dxa"/>
            <w:vMerge w:val="restart"/>
            <w:noWrap w:val="0"/>
            <w:vAlign w:val="center"/>
          </w:tcPr>
          <w:p>
            <w:pPr>
              <w:jc w:val="center"/>
              <w:rPr>
                <w:rFonts w:ascii="Times New Roman" w:hAnsi="Times New Roman"/>
                <w:b/>
                <w:szCs w:val="21"/>
              </w:rPr>
            </w:pPr>
            <w:r>
              <w:rPr>
                <w:rFonts w:ascii="Times New Roman" w:hAnsi="Times New Roman" w:hint="eastAsia"/>
                <w:b/>
                <w:szCs w:val="21"/>
              </w:rPr>
              <w:t>备注</w:t>
            </w:r>
          </w:p>
        </w:tc>
      </w:tr>
      <w:tr>
        <w:tblPrEx>
          <w:tblW w:w="0" w:type="auto"/>
          <w:jc w:val="center"/>
          <w:tblLayout w:type="fixed"/>
          <w:tblCellMar>
            <w:top w:w="0" w:type="dxa"/>
            <w:left w:w="108" w:type="dxa"/>
            <w:bottom w:w="0" w:type="dxa"/>
            <w:right w:w="108" w:type="dxa"/>
          </w:tblCellMar>
        </w:tblPrEx>
        <w:trPr>
          <w:jc w:val="center"/>
        </w:trPr>
        <w:tc>
          <w:tcPr>
            <w:tcW w:w="540" w:type="dxa"/>
            <w:vMerge/>
            <w:noWrap w:val="0"/>
            <w:vAlign w:val="center"/>
          </w:tcPr>
          <w:p>
            <w:pPr>
              <w:rPr>
                <w:rFonts w:ascii="Times New Roman" w:hAnsi="Times New Roman"/>
                <w:szCs w:val="21"/>
              </w:rPr>
            </w:pPr>
          </w:p>
        </w:tc>
        <w:tc>
          <w:tcPr>
            <w:tcW w:w="1213" w:type="dxa"/>
            <w:vMerge/>
            <w:noWrap w:val="0"/>
            <w:vAlign w:val="center"/>
          </w:tcPr>
          <w:p>
            <w:pPr>
              <w:rPr>
                <w:rFonts w:ascii="Times New Roman" w:hAnsi="Times New Roman"/>
                <w:szCs w:val="21"/>
              </w:rPr>
            </w:pPr>
          </w:p>
        </w:tc>
        <w:tc>
          <w:tcPr>
            <w:tcW w:w="1840" w:type="dxa"/>
            <w:vMerge/>
            <w:noWrap w:val="0"/>
            <w:vAlign w:val="center"/>
          </w:tcPr>
          <w:p>
            <w:pPr>
              <w:rPr>
                <w:rFonts w:ascii="Times New Roman" w:hAnsi="Times New Roman"/>
                <w:szCs w:val="21"/>
              </w:rPr>
            </w:pPr>
          </w:p>
        </w:tc>
        <w:tc>
          <w:tcPr>
            <w:tcW w:w="818" w:type="dxa"/>
            <w:noWrap w:val="0"/>
            <w:vAlign w:val="center"/>
          </w:tcPr>
          <w:p>
            <w:pPr>
              <w:rPr>
                <w:rFonts w:ascii="Times New Roman" w:hAnsi="Times New Roman"/>
                <w:szCs w:val="21"/>
              </w:rPr>
            </w:pPr>
            <w:r>
              <w:rPr>
                <w:rFonts w:ascii="Times New Roman" w:hAnsi="Times New Roman" w:hint="eastAsia"/>
                <w:szCs w:val="21"/>
              </w:rPr>
              <w:t>数量</w:t>
            </w:r>
          </w:p>
        </w:tc>
        <w:tc>
          <w:tcPr>
            <w:tcW w:w="1241" w:type="dxa"/>
            <w:noWrap w:val="0"/>
            <w:vAlign w:val="center"/>
          </w:tcPr>
          <w:p>
            <w:pPr>
              <w:jc w:val="center"/>
              <w:rPr>
                <w:rFonts w:ascii="Times New Roman" w:hAnsi="Times New Roman"/>
                <w:szCs w:val="21"/>
              </w:rPr>
            </w:pPr>
            <w:r>
              <w:rPr>
                <w:rFonts w:ascii="Times New Roman" w:hAnsi="Times New Roman" w:hint="eastAsia"/>
                <w:szCs w:val="21"/>
              </w:rPr>
              <w:t>投标单价（元）</w:t>
            </w:r>
          </w:p>
        </w:tc>
        <w:tc>
          <w:tcPr>
            <w:tcW w:w="2292" w:type="dxa"/>
            <w:noWrap w:val="0"/>
            <w:vAlign w:val="center"/>
          </w:tcPr>
          <w:p>
            <w:pPr>
              <w:jc w:val="center"/>
              <w:rPr>
                <w:rFonts w:ascii="Times New Roman" w:hAnsi="Times New Roman"/>
                <w:szCs w:val="21"/>
              </w:rPr>
            </w:pPr>
            <w:r>
              <w:rPr>
                <w:rFonts w:ascii="Times New Roman" w:hAnsi="Times New Roman" w:hint="eastAsia"/>
                <w:szCs w:val="21"/>
              </w:rPr>
              <w:t>投标</w:t>
            </w:r>
            <w:r>
              <w:rPr>
                <w:rFonts w:ascii="宋体" w:hAnsi="宋体" w:hint="eastAsia"/>
                <w:szCs w:val="21"/>
              </w:rPr>
              <w:t>合计</w:t>
            </w:r>
            <w:r>
              <w:rPr>
                <w:rFonts w:ascii="Times New Roman" w:hAnsi="Times New Roman" w:hint="eastAsia"/>
                <w:szCs w:val="21"/>
              </w:rPr>
              <w:t>报价（元）</w:t>
            </w:r>
          </w:p>
        </w:tc>
        <w:tc>
          <w:tcPr>
            <w:tcW w:w="1503" w:type="dxa"/>
            <w:vMerge/>
            <w:noWrap w:val="0"/>
            <w:vAlign w:val="center"/>
          </w:tcPr>
          <w:p>
            <w:pPr>
              <w:rPr>
                <w:rFonts w:ascii="Times New Roman" w:hAnsi="Times New Roman"/>
                <w:szCs w:val="21"/>
              </w:rPr>
            </w:pPr>
          </w:p>
        </w:tc>
        <w:tc>
          <w:tcPr>
            <w:tcW w:w="720" w:type="dxa"/>
            <w:vMerge/>
            <w:noWrap w:val="0"/>
            <w:vAlign w:val="center"/>
          </w:tcPr>
          <w:p>
            <w:pPr>
              <w:rPr>
                <w:rFonts w:ascii="Times New Roman" w:hAnsi="Times New Roman"/>
                <w:szCs w:val="21"/>
              </w:rPr>
            </w:pPr>
          </w:p>
        </w:tc>
      </w:tr>
      <w:tr>
        <w:tblPrEx>
          <w:tblW w:w="0" w:type="auto"/>
          <w:jc w:val="center"/>
          <w:tblLayout w:type="fixed"/>
          <w:tblCellMar>
            <w:top w:w="0" w:type="dxa"/>
            <w:left w:w="108" w:type="dxa"/>
            <w:bottom w:w="0" w:type="dxa"/>
            <w:right w:w="108" w:type="dxa"/>
          </w:tblCellMar>
        </w:tblPrEx>
        <w:trPr>
          <w:jc w:val="center"/>
        </w:trPr>
        <w:tc>
          <w:tcPr>
            <w:tcW w:w="540" w:type="dxa"/>
            <w:noWrap w:val="0"/>
            <w:vAlign w:val="center"/>
          </w:tcPr>
          <w:p>
            <w:pPr>
              <w:jc w:val="center"/>
              <w:rPr>
                <w:rFonts w:ascii="宋体" w:hAnsi="宋体"/>
                <w:szCs w:val="21"/>
              </w:rPr>
            </w:pPr>
            <w:r>
              <w:rPr>
                <w:rFonts w:ascii="宋体" w:hAnsi="宋体" w:hint="eastAsia"/>
                <w:szCs w:val="21"/>
              </w:rPr>
              <w:t>1</w:t>
            </w:r>
          </w:p>
        </w:tc>
        <w:tc>
          <w:tcPr>
            <w:tcW w:w="1213" w:type="dxa"/>
            <w:noWrap w:val="0"/>
            <w:vAlign w:val="center"/>
          </w:tcPr>
          <w:p>
            <w:pPr>
              <w:jc w:val="center"/>
              <w:rPr>
                <w:rFonts w:ascii="Times New Roman" w:hAnsi="Times New Roman"/>
                <w:szCs w:val="21"/>
              </w:rPr>
            </w:pPr>
          </w:p>
        </w:tc>
        <w:tc>
          <w:tcPr>
            <w:tcW w:w="1840" w:type="dxa"/>
            <w:noWrap w:val="0"/>
            <w:vAlign w:val="center"/>
          </w:tcPr>
          <w:p>
            <w:pPr>
              <w:jc w:val="center"/>
              <w:rPr>
                <w:rFonts w:ascii="Times New Roman" w:hAnsi="Times New Roman"/>
                <w:szCs w:val="21"/>
              </w:rPr>
            </w:pPr>
          </w:p>
        </w:tc>
        <w:tc>
          <w:tcPr>
            <w:tcW w:w="818" w:type="dxa"/>
            <w:noWrap w:val="0"/>
            <w:vAlign w:val="center"/>
          </w:tcPr>
          <w:p>
            <w:pPr>
              <w:jc w:val="center"/>
              <w:rPr>
                <w:rFonts w:ascii="Times New Roman" w:hAnsi="Times New Roman"/>
                <w:szCs w:val="21"/>
              </w:rPr>
            </w:pPr>
          </w:p>
        </w:tc>
        <w:tc>
          <w:tcPr>
            <w:tcW w:w="1241" w:type="dxa"/>
            <w:noWrap w:val="0"/>
            <w:vAlign w:val="center"/>
          </w:tcPr>
          <w:p>
            <w:pPr>
              <w:jc w:val="center"/>
              <w:rPr>
                <w:rFonts w:ascii="Times New Roman" w:hAnsi="Times New Roman"/>
                <w:szCs w:val="21"/>
              </w:rPr>
            </w:pPr>
          </w:p>
        </w:tc>
        <w:tc>
          <w:tcPr>
            <w:tcW w:w="2292" w:type="dxa"/>
            <w:noWrap w:val="0"/>
            <w:vAlign w:val="center"/>
          </w:tcPr>
          <w:p>
            <w:pPr>
              <w:jc w:val="center"/>
              <w:rPr>
                <w:rFonts w:ascii="Times New Roman" w:hAnsi="Times New Roman"/>
                <w:szCs w:val="21"/>
              </w:rPr>
            </w:pPr>
          </w:p>
        </w:tc>
        <w:tc>
          <w:tcPr>
            <w:tcW w:w="1503" w:type="dxa"/>
            <w:noWrap w:val="0"/>
            <w:vAlign w:val="center"/>
          </w:tcPr>
          <w:p>
            <w:pPr>
              <w:jc w:val="center"/>
              <w:rPr>
                <w:rFonts w:ascii="Times New Roman" w:hAnsi="Times New Roman"/>
                <w:szCs w:val="21"/>
              </w:rPr>
            </w:pPr>
          </w:p>
        </w:tc>
        <w:tc>
          <w:tcPr>
            <w:tcW w:w="720" w:type="dxa"/>
            <w:noWrap w:val="0"/>
            <w:vAlign w:val="center"/>
          </w:tcPr>
          <w:p>
            <w:pPr>
              <w:jc w:val="center"/>
              <w:rPr>
                <w:rFonts w:ascii="Times New Roman" w:hAnsi="Times New Roman"/>
                <w:szCs w:val="21"/>
              </w:rPr>
            </w:pPr>
          </w:p>
        </w:tc>
      </w:tr>
      <w:tr>
        <w:tblPrEx>
          <w:tblW w:w="0" w:type="auto"/>
          <w:jc w:val="center"/>
          <w:tblLayout w:type="fixed"/>
          <w:tblCellMar>
            <w:top w:w="0" w:type="dxa"/>
            <w:left w:w="108" w:type="dxa"/>
            <w:bottom w:w="0" w:type="dxa"/>
            <w:right w:w="108" w:type="dxa"/>
          </w:tblCellMar>
        </w:tblPrEx>
        <w:trPr>
          <w:jc w:val="center"/>
        </w:trPr>
        <w:tc>
          <w:tcPr>
            <w:tcW w:w="540" w:type="dxa"/>
            <w:noWrap w:val="0"/>
            <w:vAlign w:val="center"/>
          </w:tcPr>
          <w:p>
            <w:pPr>
              <w:jc w:val="center"/>
              <w:rPr>
                <w:rFonts w:ascii="宋体" w:hAnsi="宋体"/>
                <w:szCs w:val="21"/>
              </w:rPr>
            </w:pPr>
            <w:r>
              <w:rPr>
                <w:rFonts w:ascii="宋体" w:hAnsi="宋体" w:hint="eastAsia"/>
                <w:szCs w:val="21"/>
              </w:rPr>
              <w:t>2</w:t>
            </w:r>
          </w:p>
        </w:tc>
        <w:tc>
          <w:tcPr>
            <w:tcW w:w="1213" w:type="dxa"/>
            <w:noWrap w:val="0"/>
            <w:vAlign w:val="center"/>
          </w:tcPr>
          <w:p>
            <w:pPr>
              <w:jc w:val="center"/>
              <w:rPr>
                <w:rFonts w:ascii="Times New Roman" w:hAnsi="Times New Roman"/>
                <w:szCs w:val="21"/>
              </w:rPr>
            </w:pPr>
          </w:p>
        </w:tc>
        <w:tc>
          <w:tcPr>
            <w:tcW w:w="1840" w:type="dxa"/>
            <w:noWrap w:val="0"/>
            <w:vAlign w:val="center"/>
          </w:tcPr>
          <w:p>
            <w:pPr>
              <w:jc w:val="center"/>
              <w:rPr>
                <w:rFonts w:ascii="Times New Roman" w:hAnsi="Times New Roman"/>
                <w:szCs w:val="21"/>
              </w:rPr>
            </w:pPr>
          </w:p>
        </w:tc>
        <w:tc>
          <w:tcPr>
            <w:tcW w:w="818" w:type="dxa"/>
            <w:noWrap w:val="0"/>
            <w:vAlign w:val="center"/>
          </w:tcPr>
          <w:p>
            <w:pPr>
              <w:jc w:val="center"/>
              <w:rPr>
                <w:rFonts w:ascii="Times New Roman" w:hAnsi="Times New Roman"/>
                <w:szCs w:val="21"/>
              </w:rPr>
            </w:pPr>
          </w:p>
        </w:tc>
        <w:tc>
          <w:tcPr>
            <w:tcW w:w="1241" w:type="dxa"/>
            <w:noWrap w:val="0"/>
            <w:vAlign w:val="center"/>
          </w:tcPr>
          <w:p>
            <w:pPr>
              <w:jc w:val="center"/>
              <w:rPr>
                <w:rFonts w:ascii="Times New Roman" w:hAnsi="Times New Roman"/>
                <w:szCs w:val="21"/>
              </w:rPr>
            </w:pPr>
          </w:p>
        </w:tc>
        <w:tc>
          <w:tcPr>
            <w:tcW w:w="2292" w:type="dxa"/>
            <w:noWrap w:val="0"/>
            <w:vAlign w:val="center"/>
          </w:tcPr>
          <w:p>
            <w:pPr>
              <w:jc w:val="center"/>
              <w:rPr>
                <w:rFonts w:ascii="Times New Roman" w:hAnsi="Times New Roman"/>
                <w:szCs w:val="21"/>
              </w:rPr>
            </w:pPr>
          </w:p>
        </w:tc>
        <w:tc>
          <w:tcPr>
            <w:tcW w:w="1503" w:type="dxa"/>
            <w:noWrap w:val="0"/>
            <w:vAlign w:val="center"/>
          </w:tcPr>
          <w:p>
            <w:pPr>
              <w:jc w:val="center"/>
              <w:rPr>
                <w:rFonts w:ascii="Times New Roman" w:hAnsi="Times New Roman"/>
                <w:szCs w:val="21"/>
              </w:rPr>
            </w:pPr>
          </w:p>
        </w:tc>
        <w:tc>
          <w:tcPr>
            <w:tcW w:w="720" w:type="dxa"/>
            <w:noWrap w:val="0"/>
            <w:vAlign w:val="center"/>
          </w:tcPr>
          <w:p>
            <w:pPr>
              <w:jc w:val="center"/>
              <w:rPr>
                <w:rFonts w:ascii="Times New Roman" w:hAnsi="Times New Roman"/>
                <w:szCs w:val="21"/>
              </w:rPr>
            </w:pPr>
          </w:p>
        </w:tc>
      </w:tr>
    </w:tbl>
    <w:p>
      <w:pPr>
        <w:spacing w:line="360" w:lineRule="auto"/>
        <w:rPr>
          <w:rFonts w:ascii="Times New Roman" w:hAnsi="Times New Roman"/>
          <w:szCs w:val="21"/>
        </w:rPr>
      </w:pPr>
      <w:r>
        <w:rPr>
          <w:rFonts w:ascii="Times New Roman" w:hAnsi="Times New Roman" w:hint="eastAsia"/>
          <w:szCs w:val="21"/>
        </w:rPr>
        <w:t>注</w:t>
      </w:r>
      <w:r>
        <w:rPr>
          <w:rFonts w:ascii="宋体" w:hAnsi="宋体" w:hint="eastAsia"/>
          <w:szCs w:val="21"/>
        </w:rPr>
        <w:t xml:space="preserve">：1. </w:t>
      </w:r>
      <w:r>
        <w:rPr>
          <w:rFonts w:ascii="宋体" w:hAnsi="宋体" w:hint="eastAsia"/>
          <w:b/>
          <w:szCs w:val="21"/>
        </w:rPr>
        <w:t>对</w:t>
      </w:r>
      <w:r>
        <w:rPr>
          <w:rFonts w:ascii="宋体" w:hAnsi="宋体"/>
          <w:b/>
          <w:szCs w:val="21"/>
        </w:rPr>
        <w:t>属于</w:t>
      </w:r>
      <w:r>
        <w:rPr>
          <w:rFonts w:ascii="宋体" w:hAnsi="宋体" w:hint="eastAsia"/>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ascii="宋体" w:hAnsi="宋体" w:hint="eastAsia"/>
          <w:b/>
          <w:szCs w:val="21"/>
        </w:rPr>
        <w:t>内</w:t>
      </w:r>
      <w:r>
        <w:rPr>
          <w:rFonts w:ascii="宋体" w:hAnsi="宋体"/>
          <w:b/>
          <w:szCs w:val="21"/>
        </w:rPr>
        <w:t>的</w:t>
      </w:r>
      <w:r>
        <w:rPr>
          <w:rFonts w:ascii="宋体" w:hAnsi="宋体" w:hint="eastAsia"/>
          <w:b/>
          <w:szCs w:val="21"/>
        </w:rPr>
        <w:t>投标产品，投标人须提供</w:t>
      </w:r>
      <w:r>
        <w:rPr>
          <w:rFonts w:ascii="宋体" w:hAnsi="宋体"/>
          <w:b/>
          <w:szCs w:val="21"/>
        </w:rPr>
        <w:t>国家确定的认证机构出具的、处于有效期之内的节能产品、环境标志产品认证证书，</w:t>
      </w:r>
      <w:r>
        <w:rPr>
          <w:rFonts w:ascii="宋体" w:hAnsi="宋体" w:hint="eastAsia"/>
          <w:b/>
          <w:szCs w:val="21"/>
        </w:rPr>
        <w:t>以及相应的节能或环境标志产品政府采购品目清单，并显著标识投标产品所处位置。</w:t>
      </w:r>
      <w:r>
        <w:rPr>
          <w:rFonts w:ascii="宋体" w:hAnsi="宋体" w:hint="eastAsia"/>
          <w:szCs w:val="21"/>
        </w:rPr>
        <w:t>提供以上证明材料的</w:t>
      </w:r>
      <w:r>
        <w:rPr>
          <w:rFonts w:ascii="宋体" w:hAnsi="宋体" w:hint="eastAsia"/>
          <w:szCs w:val="21"/>
          <w:lang w:eastAsia="zh-CN"/>
        </w:rPr>
        <w:t>扫描件</w:t>
      </w:r>
      <w:r>
        <w:rPr>
          <w:rFonts w:ascii="宋体" w:hAnsi="宋体" w:hint="eastAsia"/>
          <w:szCs w:val="21"/>
        </w:rPr>
        <w:t>，提供的证书若存在不齐全、已过有效期或其他未被评标委员会接受的瑕疵将不予认可。</w:t>
      </w:r>
      <w:r>
        <w:rPr>
          <w:rFonts w:ascii="Times New Roman" w:hAnsi="Times New Roman" w:hint="eastAsia"/>
          <w:szCs w:val="21"/>
        </w:rPr>
        <w:t>投标产品若不属于上述清单或目录范围内，则无需填写该表。</w:t>
      </w:r>
    </w:p>
    <w:p>
      <w:pPr>
        <w:spacing w:line="360" w:lineRule="auto"/>
        <w:rPr>
          <w:rFonts w:ascii="宋体" w:hAnsi="宋体"/>
          <w:szCs w:val="21"/>
        </w:rPr>
      </w:pPr>
      <w:r>
        <w:rPr>
          <w:rFonts w:ascii="宋体" w:hAnsi="宋体" w:hint="eastAsia"/>
          <w:szCs w:val="21"/>
        </w:rPr>
        <w:t>2. “投标产品报价”栏中须准确填报该投标产品的投标单价、数量及投标合计报价；投标产品名称、规格型号、价格应与“分项报价表”一致，如不一致，以“分项报价表”为准。</w:t>
      </w:r>
    </w:p>
    <w:p>
      <w:pPr>
        <w:spacing w:line="360" w:lineRule="auto"/>
        <w:rPr>
          <w:rFonts w:ascii="宋体" w:hAnsi="宋体" w:hint="eastAsia"/>
          <w:szCs w:val="21"/>
        </w:rPr>
      </w:pPr>
      <w:r>
        <w:rPr>
          <w:rFonts w:ascii="宋体" w:hAnsi="宋体" w:hint="eastAsia"/>
          <w:szCs w:val="21"/>
        </w:rPr>
        <w:t>3. “属于优先采购清单的类别”栏中填写“节能产品政府采购品目清单”或“环境标志产品政府采购品目清单”。</w:t>
      </w:r>
    </w:p>
    <w:p>
      <w:pPr>
        <w:pStyle w:val="NormalWeb"/>
        <w:keepNext w:val="0"/>
        <w:keepLines w:val="0"/>
        <w:pageBreakBefore w:val="0"/>
        <w:widowControl/>
        <w:suppressLineNumbers w:val="0"/>
        <w:pBdr>
          <w:top w:val="nil"/>
          <w:left w:val="nil"/>
          <w:bottom w:val="nil"/>
          <w:right w:val="nil"/>
        </w:pBdr>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Style w:val="Strong"/>
          <w:rFonts w:ascii="宋体" w:eastAsia="宋体" w:hAnsi="宋体" w:cs="宋体" w:hint="eastAsia"/>
          <w:i w:val="0"/>
          <w:iCs w:val="0"/>
          <w:caps w:val="0"/>
          <w:color w:val="000000"/>
          <w:spacing w:val="0"/>
          <w:sz w:val="28"/>
          <w:szCs w:val="28"/>
          <w:u w:val="none"/>
          <w:shd w:val="clear" w:color="auto" w:fill="FFFFFF"/>
          <w:vertAlign w:val="baseline"/>
        </w:rPr>
      </w:pPr>
    </w:p>
    <w:p>
      <w:pPr>
        <w:pStyle w:val="NormalWeb"/>
        <w:keepNext w:val="0"/>
        <w:keepLines w:val="0"/>
        <w:pageBreakBefore w:val="0"/>
        <w:widowControl/>
        <w:suppressLineNumbers w:val="0"/>
        <w:pBdr>
          <w:top w:val="nil"/>
          <w:left w:val="nil"/>
          <w:bottom w:val="nil"/>
          <w:right w:val="nil"/>
        </w:pBdr>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ascii="宋体" w:eastAsia="宋体" w:hAnsi="宋体" w:cs="宋体" w:hint="eastAsia"/>
          <w:sz w:val="28"/>
          <w:szCs w:val="28"/>
        </w:rPr>
      </w:pPr>
      <w:r>
        <w:rPr>
          <w:rStyle w:val="Strong"/>
          <w:rFonts w:ascii="宋体" w:eastAsia="宋体" w:hAnsi="宋体" w:cs="宋体" w:hint="eastAsia"/>
          <w:i w:val="0"/>
          <w:iCs w:val="0"/>
          <w:caps w:val="0"/>
          <w:color w:val="000000"/>
          <w:spacing w:val="0"/>
          <w:sz w:val="28"/>
          <w:szCs w:val="28"/>
          <w:u w:val="none"/>
          <w:shd w:val="clear" w:color="auto" w:fill="FFFFFF"/>
          <w:vertAlign w:val="baseline"/>
        </w:rPr>
        <w:t>关于符合本国产品标准的声明函</w:t>
      </w:r>
    </w:p>
    <w:p>
      <w:pPr>
        <w:pStyle w:val="NormalWeb"/>
        <w:keepNext w:val="0"/>
        <w:keepLines w:val="0"/>
        <w:pageBreakBefore w:val="0"/>
        <w:widowControl/>
        <w:suppressLineNumbers w:val="0"/>
        <w:pBdr>
          <w:top w:val="nil"/>
          <w:left w:val="nil"/>
          <w:bottom w:val="nil"/>
          <w:right w:val="nil"/>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ascii="宋体" w:eastAsia="宋体" w:hAnsi="宋体" w:cs="宋体" w:hint="eastAsia"/>
          <w:sz w:val="21"/>
          <w:szCs w:val="21"/>
        </w:rPr>
      </w:pPr>
      <w:r>
        <w:rPr>
          <w:rFonts w:ascii="仿宋" w:eastAsia="仿宋" w:hAnsi="仿宋" w:cs="仿宋" w:hint="eastAsia"/>
          <w:i w:val="0"/>
          <w:iCs w:val="0"/>
          <w:caps w:val="0"/>
          <w:color w:val="000000"/>
          <w:spacing w:val="0"/>
          <w:sz w:val="28"/>
          <w:szCs w:val="28"/>
          <w:u w:val="none"/>
          <w:shd w:val="clear" w:color="auto" w:fill="FFFFFF"/>
          <w:vertAlign w:val="baseline"/>
        </w:rPr>
        <w:t> </w:t>
      </w:r>
      <w:r>
        <w:rPr>
          <w:rFonts w:ascii="宋体" w:eastAsia="宋体" w:hAnsi="宋体" w:cs="宋体" w:hint="eastAsia"/>
          <w:i w:val="0"/>
          <w:iCs w:val="0"/>
          <w:caps w:val="0"/>
          <w:color w:val="000000"/>
          <w:spacing w:val="0"/>
          <w:sz w:val="21"/>
          <w:szCs w:val="21"/>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pPr>
        <w:pStyle w:val="NormalWeb"/>
        <w:keepNext w:val="0"/>
        <w:keepLines w:val="0"/>
        <w:pageBreakBefore w:val="0"/>
        <w:widowControl/>
        <w:suppressLineNumbers w:val="0"/>
        <w:pBdr>
          <w:top w:val="nil"/>
          <w:left w:val="nil"/>
          <w:bottom w:val="nil"/>
          <w:right w:val="nil"/>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ascii="宋体" w:eastAsia="宋体" w:hAnsi="宋体" w:cs="宋体" w:hint="eastAsia"/>
          <w:sz w:val="21"/>
          <w:szCs w:val="21"/>
        </w:rPr>
      </w:pPr>
      <w:r>
        <w:rPr>
          <w:rFonts w:ascii="宋体" w:eastAsia="宋体" w:hAnsi="宋体" w:cs="宋体" w:hint="eastAsia"/>
          <w:i w:val="0"/>
          <w:iCs w:val="0"/>
          <w:caps w:val="0"/>
          <w:color w:val="000000"/>
          <w:spacing w:val="0"/>
          <w:sz w:val="21"/>
          <w:szCs w:val="21"/>
          <w:u w:val="none"/>
          <w:shd w:val="clear" w:color="auto" w:fill="FFFFFF"/>
          <w:vertAlign w:val="baseline"/>
        </w:rPr>
        <w:t>1.</w:t>
      </w:r>
      <w:r>
        <w:rPr>
          <w:rStyle w:val="Emphasis"/>
          <w:rFonts w:ascii="宋体" w:eastAsia="宋体" w:hAnsi="宋体" w:cs="宋体" w:hint="eastAsia"/>
          <w:i w:val="0"/>
          <w:iCs w:val="0"/>
          <w:caps w:val="0"/>
          <w:color w:val="000000"/>
          <w:spacing w:val="0"/>
          <w:sz w:val="21"/>
          <w:szCs w:val="21"/>
          <w:u w:val="none"/>
          <w:shd w:val="clear" w:color="auto" w:fill="FFFFFF"/>
          <w:vertAlign w:val="baseline"/>
        </w:rPr>
        <w:t>（产品名称1）1</w:t>
      </w:r>
      <w:r>
        <w:rPr>
          <w:rFonts w:ascii="宋体" w:eastAsia="宋体" w:hAnsi="宋体" w:cs="宋体" w:hint="eastAsia"/>
          <w:i w:val="0"/>
          <w:iCs w:val="0"/>
          <w:caps w:val="0"/>
          <w:color w:val="000000"/>
          <w:spacing w:val="0"/>
          <w:sz w:val="21"/>
          <w:szCs w:val="21"/>
          <w:u w:val="none"/>
          <w:shd w:val="clear" w:color="auto" w:fill="FFFFFF"/>
          <w:vertAlign w:val="baseline"/>
        </w:rPr>
        <w:t>，生产厂为</w:t>
      </w:r>
      <w:r>
        <w:rPr>
          <w:rStyle w:val="Emphasis"/>
          <w:rFonts w:ascii="宋体" w:eastAsia="宋体" w:hAnsi="宋体" w:cs="宋体" w:hint="eastAsia"/>
          <w:i w:val="0"/>
          <w:iCs w:val="0"/>
          <w:caps w:val="0"/>
          <w:color w:val="000000"/>
          <w:spacing w:val="0"/>
          <w:sz w:val="21"/>
          <w:szCs w:val="21"/>
          <w:u w:val="none"/>
          <w:shd w:val="clear" w:color="auto" w:fill="FFFFFF"/>
          <w:vertAlign w:val="baseline"/>
        </w:rPr>
        <w:t>（厂名）2</w:t>
      </w:r>
      <w:r>
        <w:rPr>
          <w:rFonts w:ascii="宋体" w:eastAsia="宋体" w:hAnsi="宋体" w:cs="宋体" w:hint="eastAsia"/>
          <w:i w:val="0"/>
          <w:iCs w:val="0"/>
          <w:caps w:val="0"/>
          <w:color w:val="000000"/>
          <w:spacing w:val="0"/>
          <w:sz w:val="21"/>
          <w:szCs w:val="21"/>
          <w:u w:val="none"/>
          <w:shd w:val="clear" w:color="auto" w:fill="FFFFFF"/>
          <w:vertAlign w:val="baseline"/>
        </w:rPr>
        <w:t>，厂址为</w:t>
      </w:r>
      <w:r>
        <w:rPr>
          <w:rStyle w:val="Emphasis"/>
          <w:rFonts w:ascii="宋体" w:eastAsia="宋体" w:hAnsi="宋体" w:cs="宋体" w:hint="eastAsia"/>
          <w:i w:val="0"/>
          <w:iCs w:val="0"/>
          <w:caps w:val="0"/>
          <w:color w:val="000000"/>
          <w:spacing w:val="0"/>
          <w:sz w:val="21"/>
          <w:szCs w:val="21"/>
          <w:u w:val="none"/>
          <w:shd w:val="clear" w:color="auto" w:fill="FFFFFF"/>
          <w:vertAlign w:val="baseline"/>
        </w:rPr>
        <w:t>（生产厂址）</w:t>
      </w:r>
      <w:r>
        <w:rPr>
          <w:rFonts w:ascii="宋体" w:eastAsia="宋体" w:hAnsi="宋体" w:cs="宋体" w:hint="eastAsia"/>
          <w:i w:val="0"/>
          <w:iCs w:val="0"/>
          <w:caps w:val="0"/>
          <w:color w:val="000000"/>
          <w:spacing w:val="0"/>
          <w:sz w:val="21"/>
          <w:szCs w:val="21"/>
          <w:u w:val="none"/>
          <w:shd w:val="clear" w:color="auto" w:fill="FFFFFF"/>
          <w:vertAlign w:val="baseline"/>
        </w:rPr>
        <w:t>。</w:t>
      </w:r>
      <w:r>
        <w:rPr>
          <w:rStyle w:val="Emphasis"/>
          <w:rFonts w:ascii="宋体" w:eastAsia="宋体" w:hAnsi="宋体" w:cs="宋体" w:hint="eastAsia"/>
          <w:i w:val="0"/>
          <w:iCs w:val="0"/>
          <w:caps w:val="0"/>
          <w:color w:val="000000"/>
          <w:spacing w:val="0"/>
          <w:sz w:val="21"/>
          <w:szCs w:val="21"/>
          <w:u w:val="none"/>
          <w:shd w:val="clear" w:color="auto" w:fill="FFFFFF"/>
          <w:vertAlign w:val="baseline"/>
        </w:rPr>
        <w:t>（产品名称1）</w:t>
      </w:r>
      <w:r>
        <w:rPr>
          <w:rFonts w:ascii="宋体" w:eastAsia="宋体" w:hAnsi="宋体" w:cs="宋体" w:hint="eastAsia"/>
          <w:i w:val="0"/>
          <w:iCs w:val="0"/>
          <w:caps w:val="0"/>
          <w:color w:val="000000"/>
          <w:spacing w:val="0"/>
          <w:sz w:val="21"/>
          <w:szCs w:val="21"/>
          <w:u w:val="none"/>
          <w:shd w:val="clear" w:color="auto" w:fill="FFFFFF"/>
          <w:vertAlign w:val="baseline"/>
        </w:rPr>
        <w:t>的中国境内生产的组件成本占比≥</w:t>
      </w:r>
      <w:r>
        <w:rPr>
          <w:rStyle w:val="Emphasis"/>
          <w:rFonts w:ascii="宋体" w:eastAsia="宋体" w:hAnsi="宋体" w:cs="宋体" w:hint="eastAsia"/>
          <w:i w:val="0"/>
          <w:iCs w:val="0"/>
          <w:caps w:val="0"/>
          <w:color w:val="000000"/>
          <w:spacing w:val="0"/>
          <w:sz w:val="21"/>
          <w:szCs w:val="21"/>
          <w:u w:val="none"/>
          <w:shd w:val="clear" w:color="auto" w:fill="FFFFFF"/>
          <w:vertAlign w:val="baseline"/>
        </w:rPr>
        <w:t>（规定比例）3</w:t>
      </w:r>
      <w:r>
        <w:rPr>
          <w:rFonts w:ascii="宋体" w:eastAsia="宋体" w:hAnsi="宋体" w:cs="宋体" w:hint="eastAsia"/>
          <w:i w:val="0"/>
          <w:iCs w:val="0"/>
          <w:caps w:val="0"/>
          <w:color w:val="000000"/>
          <w:spacing w:val="0"/>
          <w:sz w:val="21"/>
          <w:szCs w:val="21"/>
          <w:u w:val="none"/>
          <w:shd w:val="clear" w:color="auto" w:fill="FFFFFF"/>
          <w:vertAlign w:val="baseline"/>
        </w:rPr>
        <w:t>。</w:t>
      </w:r>
      <w:r>
        <w:rPr>
          <w:rStyle w:val="Emphasis"/>
          <w:rFonts w:ascii="宋体" w:eastAsia="宋体" w:hAnsi="宋体" w:cs="宋体" w:hint="eastAsia"/>
          <w:i w:val="0"/>
          <w:iCs w:val="0"/>
          <w:caps w:val="0"/>
          <w:color w:val="000000"/>
          <w:spacing w:val="0"/>
          <w:sz w:val="21"/>
          <w:szCs w:val="21"/>
          <w:u w:val="none"/>
          <w:shd w:val="clear" w:color="auto" w:fill="FFFFFF"/>
          <w:vertAlign w:val="baseline"/>
        </w:rPr>
        <w:t>（产品名称1）</w:t>
      </w:r>
      <w:r>
        <w:rPr>
          <w:rFonts w:ascii="宋体" w:eastAsia="宋体" w:hAnsi="宋体" w:cs="宋体" w:hint="eastAsia"/>
          <w:i w:val="0"/>
          <w:iCs w:val="0"/>
          <w:caps w:val="0"/>
          <w:color w:val="000000"/>
          <w:spacing w:val="0"/>
          <w:sz w:val="21"/>
          <w:szCs w:val="21"/>
          <w:u w:val="none"/>
          <w:shd w:val="clear" w:color="auto" w:fill="FFFFFF"/>
          <w:vertAlign w:val="baseline"/>
        </w:rPr>
        <w:t>的</w:t>
      </w:r>
      <w:r>
        <w:rPr>
          <w:rStyle w:val="Emphasis"/>
          <w:rFonts w:ascii="宋体" w:eastAsia="宋体" w:hAnsi="宋体" w:cs="宋体" w:hint="eastAsia"/>
          <w:i w:val="0"/>
          <w:iCs w:val="0"/>
          <w:caps w:val="0"/>
          <w:color w:val="000000"/>
          <w:spacing w:val="0"/>
          <w:sz w:val="21"/>
          <w:szCs w:val="21"/>
          <w:u w:val="none"/>
          <w:shd w:val="clear" w:color="auto" w:fill="FFFFFF"/>
          <w:vertAlign w:val="baseline"/>
        </w:rPr>
        <w:t>（关键组件）4</w:t>
      </w:r>
      <w:r>
        <w:rPr>
          <w:rFonts w:ascii="宋体" w:eastAsia="宋体" w:hAnsi="宋体" w:cs="宋体" w:hint="eastAsia"/>
          <w:i w:val="0"/>
          <w:iCs w:val="0"/>
          <w:caps w:val="0"/>
          <w:color w:val="000000"/>
          <w:spacing w:val="0"/>
          <w:sz w:val="21"/>
          <w:szCs w:val="21"/>
          <w:u w:val="none"/>
          <w:shd w:val="clear" w:color="auto" w:fill="FFFFFF"/>
          <w:vertAlign w:val="baseline"/>
        </w:rPr>
        <w:t>在中国境内生产。</w:t>
      </w:r>
      <w:r>
        <w:rPr>
          <w:rStyle w:val="Emphasis"/>
          <w:rFonts w:ascii="宋体" w:eastAsia="宋体" w:hAnsi="宋体" w:cs="宋体" w:hint="eastAsia"/>
          <w:i w:val="0"/>
          <w:iCs w:val="0"/>
          <w:caps w:val="0"/>
          <w:color w:val="000000"/>
          <w:spacing w:val="0"/>
          <w:sz w:val="21"/>
          <w:szCs w:val="21"/>
          <w:u w:val="none"/>
          <w:shd w:val="clear" w:color="auto" w:fill="FFFFFF"/>
          <w:vertAlign w:val="baseline"/>
        </w:rPr>
        <w:t>（产品名称1）</w:t>
      </w:r>
      <w:r>
        <w:rPr>
          <w:rFonts w:ascii="宋体" w:eastAsia="宋体" w:hAnsi="宋体" w:cs="宋体" w:hint="eastAsia"/>
          <w:i w:val="0"/>
          <w:iCs w:val="0"/>
          <w:caps w:val="0"/>
          <w:color w:val="000000"/>
          <w:spacing w:val="0"/>
          <w:sz w:val="21"/>
          <w:szCs w:val="21"/>
          <w:u w:val="none"/>
          <w:shd w:val="clear" w:color="auto" w:fill="FFFFFF"/>
          <w:vertAlign w:val="baseline"/>
        </w:rPr>
        <w:t>的</w:t>
      </w:r>
      <w:r>
        <w:rPr>
          <w:rStyle w:val="Emphasis"/>
          <w:rFonts w:ascii="宋体" w:eastAsia="宋体" w:hAnsi="宋体" w:cs="宋体" w:hint="eastAsia"/>
          <w:i w:val="0"/>
          <w:iCs w:val="0"/>
          <w:caps w:val="0"/>
          <w:color w:val="000000"/>
          <w:spacing w:val="0"/>
          <w:sz w:val="21"/>
          <w:szCs w:val="21"/>
          <w:u w:val="none"/>
          <w:shd w:val="clear" w:color="auto" w:fill="FFFFFF"/>
          <w:vertAlign w:val="baseline"/>
        </w:rPr>
        <w:t>（关键工序）5</w:t>
      </w:r>
      <w:r>
        <w:rPr>
          <w:rFonts w:ascii="宋体" w:eastAsia="宋体" w:hAnsi="宋体" w:cs="宋体" w:hint="eastAsia"/>
          <w:i w:val="0"/>
          <w:iCs w:val="0"/>
          <w:caps w:val="0"/>
          <w:color w:val="000000"/>
          <w:spacing w:val="0"/>
          <w:sz w:val="21"/>
          <w:szCs w:val="21"/>
          <w:u w:val="none"/>
          <w:shd w:val="clear" w:color="auto" w:fill="FFFFFF"/>
          <w:vertAlign w:val="baseline"/>
        </w:rPr>
        <w:t>在中国境内完成。</w:t>
      </w:r>
    </w:p>
    <w:p>
      <w:pPr>
        <w:pStyle w:val="NormalWeb"/>
        <w:keepNext w:val="0"/>
        <w:keepLines w:val="0"/>
        <w:pageBreakBefore w:val="0"/>
        <w:widowControl/>
        <w:suppressLineNumbers w:val="0"/>
        <w:pBdr>
          <w:top w:val="nil"/>
          <w:left w:val="nil"/>
          <w:bottom w:val="nil"/>
          <w:right w:val="nil"/>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ascii="宋体" w:eastAsia="宋体" w:hAnsi="宋体" w:cs="宋体" w:hint="eastAsia"/>
          <w:sz w:val="21"/>
          <w:szCs w:val="21"/>
        </w:rPr>
      </w:pPr>
      <w:r>
        <w:rPr>
          <w:rFonts w:ascii="宋体" w:eastAsia="宋体" w:hAnsi="宋体" w:cs="宋体" w:hint="eastAsia"/>
          <w:i w:val="0"/>
          <w:iCs w:val="0"/>
          <w:caps w:val="0"/>
          <w:color w:val="000000"/>
          <w:spacing w:val="0"/>
          <w:sz w:val="21"/>
          <w:szCs w:val="21"/>
          <w:u w:val="none"/>
          <w:shd w:val="clear" w:color="auto" w:fill="FFFFFF"/>
          <w:vertAlign w:val="baseline"/>
        </w:rPr>
        <w:t>2.</w:t>
      </w:r>
      <w:r>
        <w:rPr>
          <w:rStyle w:val="Emphasis"/>
          <w:rFonts w:ascii="宋体" w:eastAsia="宋体" w:hAnsi="宋体" w:cs="宋体" w:hint="eastAsia"/>
          <w:i w:val="0"/>
          <w:iCs w:val="0"/>
          <w:caps w:val="0"/>
          <w:color w:val="000000"/>
          <w:spacing w:val="0"/>
          <w:sz w:val="21"/>
          <w:szCs w:val="21"/>
          <w:u w:val="none"/>
          <w:shd w:val="clear" w:color="auto" w:fill="FFFFFF"/>
          <w:vertAlign w:val="baseline"/>
        </w:rPr>
        <w:t>（产品名称2）</w:t>
      </w:r>
      <w:r>
        <w:rPr>
          <w:rFonts w:ascii="宋体" w:eastAsia="宋体" w:hAnsi="宋体" w:cs="宋体" w:hint="eastAsia"/>
          <w:i w:val="0"/>
          <w:iCs w:val="0"/>
          <w:caps w:val="0"/>
          <w:color w:val="000000"/>
          <w:spacing w:val="0"/>
          <w:sz w:val="21"/>
          <w:szCs w:val="21"/>
          <w:u w:val="none"/>
          <w:shd w:val="clear" w:color="auto" w:fill="FFFFFF"/>
          <w:vertAlign w:val="baseline"/>
        </w:rPr>
        <w:t>，生产厂为</w:t>
      </w:r>
      <w:r>
        <w:rPr>
          <w:rStyle w:val="Emphasis"/>
          <w:rFonts w:ascii="宋体" w:eastAsia="宋体" w:hAnsi="宋体" w:cs="宋体" w:hint="eastAsia"/>
          <w:i w:val="0"/>
          <w:iCs w:val="0"/>
          <w:caps w:val="0"/>
          <w:color w:val="000000"/>
          <w:spacing w:val="0"/>
          <w:sz w:val="21"/>
          <w:szCs w:val="21"/>
          <w:u w:val="none"/>
          <w:shd w:val="clear" w:color="auto" w:fill="FFFFFF"/>
          <w:vertAlign w:val="baseline"/>
        </w:rPr>
        <w:t>（厂名）</w:t>
      </w:r>
      <w:r>
        <w:rPr>
          <w:rFonts w:ascii="宋体" w:eastAsia="宋体" w:hAnsi="宋体" w:cs="宋体" w:hint="eastAsia"/>
          <w:i w:val="0"/>
          <w:iCs w:val="0"/>
          <w:caps w:val="0"/>
          <w:color w:val="000000"/>
          <w:spacing w:val="0"/>
          <w:sz w:val="21"/>
          <w:szCs w:val="21"/>
          <w:u w:val="none"/>
          <w:shd w:val="clear" w:color="auto" w:fill="FFFFFF"/>
          <w:vertAlign w:val="baseline"/>
        </w:rPr>
        <w:t>，厂址为</w:t>
      </w:r>
      <w:r>
        <w:rPr>
          <w:rStyle w:val="Emphasis"/>
          <w:rFonts w:ascii="宋体" w:eastAsia="宋体" w:hAnsi="宋体" w:cs="宋体" w:hint="eastAsia"/>
          <w:i w:val="0"/>
          <w:iCs w:val="0"/>
          <w:caps w:val="0"/>
          <w:color w:val="000000"/>
          <w:spacing w:val="0"/>
          <w:sz w:val="21"/>
          <w:szCs w:val="21"/>
          <w:u w:val="none"/>
          <w:shd w:val="clear" w:color="auto" w:fill="FFFFFF"/>
          <w:vertAlign w:val="baseline"/>
        </w:rPr>
        <w:t>（生产厂址）</w:t>
      </w:r>
      <w:r>
        <w:rPr>
          <w:rFonts w:ascii="宋体" w:eastAsia="宋体" w:hAnsi="宋体" w:cs="宋体" w:hint="eastAsia"/>
          <w:i w:val="0"/>
          <w:iCs w:val="0"/>
          <w:caps w:val="0"/>
          <w:color w:val="000000"/>
          <w:spacing w:val="0"/>
          <w:sz w:val="21"/>
          <w:szCs w:val="21"/>
          <w:u w:val="none"/>
          <w:shd w:val="clear" w:color="auto" w:fill="FFFFFF"/>
          <w:vertAlign w:val="baseline"/>
        </w:rPr>
        <w:t>。</w:t>
      </w:r>
      <w:r>
        <w:rPr>
          <w:rStyle w:val="Emphasis"/>
          <w:rFonts w:ascii="宋体" w:eastAsia="宋体" w:hAnsi="宋体" w:cs="宋体" w:hint="eastAsia"/>
          <w:i w:val="0"/>
          <w:iCs w:val="0"/>
          <w:caps w:val="0"/>
          <w:color w:val="000000"/>
          <w:spacing w:val="0"/>
          <w:sz w:val="21"/>
          <w:szCs w:val="21"/>
          <w:u w:val="none"/>
          <w:shd w:val="clear" w:color="auto" w:fill="FFFFFF"/>
          <w:vertAlign w:val="baseline"/>
        </w:rPr>
        <w:t>（产品名称2）</w:t>
      </w:r>
      <w:r>
        <w:rPr>
          <w:rFonts w:ascii="宋体" w:eastAsia="宋体" w:hAnsi="宋体" w:cs="宋体" w:hint="eastAsia"/>
          <w:i w:val="0"/>
          <w:iCs w:val="0"/>
          <w:caps w:val="0"/>
          <w:color w:val="000000"/>
          <w:spacing w:val="0"/>
          <w:sz w:val="21"/>
          <w:szCs w:val="21"/>
          <w:u w:val="none"/>
          <w:shd w:val="clear" w:color="auto" w:fill="FFFFFF"/>
          <w:vertAlign w:val="baseline"/>
        </w:rPr>
        <w:t>的中国境内生产的组件成本占比≥</w:t>
      </w:r>
      <w:r>
        <w:rPr>
          <w:rStyle w:val="Emphasis"/>
          <w:rFonts w:ascii="宋体" w:eastAsia="宋体" w:hAnsi="宋体" w:cs="宋体" w:hint="eastAsia"/>
          <w:i w:val="0"/>
          <w:iCs w:val="0"/>
          <w:caps w:val="0"/>
          <w:color w:val="000000"/>
          <w:spacing w:val="0"/>
          <w:sz w:val="21"/>
          <w:szCs w:val="21"/>
          <w:u w:val="none"/>
          <w:shd w:val="clear" w:color="auto" w:fill="FFFFFF"/>
          <w:vertAlign w:val="baseline"/>
        </w:rPr>
        <w:t>（规定比例）</w:t>
      </w:r>
      <w:r>
        <w:rPr>
          <w:rFonts w:ascii="宋体" w:eastAsia="宋体" w:hAnsi="宋体" w:cs="宋体" w:hint="eastAsia"/>
          <w:i w:val="0"/>
          <w:iCs w:val="0"/>
          <w:caps w:val="0"/>
          <w:color w:val="000000"/>
          <w:spacing w:val="0"/>
          <w:sz w:val="21"/>
          <w:szCs w:val="21"/>
          <w:u w:val="none"/>
          <w:shd w:val="clear" w:color="auto" w:fill="FFFFFF"/>
          <w:vertAlign w:val="baseline"/>
        </w:rPr>
        <w:t>。</w:t>
      </w:r>
      <w:r>
        <w:rPr>
          <w:rStyle w:val="Emphasis"/>
          <w:rFonts w:ascii="宋体" w:eastAsia="宋体" w:hAnsi="宋体" w:cs="宋体" w:hint="eastAsia"/>
          <w:i w:val="0"/>
          <w:iCs w:val="0"/>
          <w:caps w:val="0"/>
          <w:color w:val="000000"/>
          <w:spacing w:val="0"/>
          <w:sz w:val="21"/>
          <w:szCs w:val="21"/>
          <w:u w:val="none"/>
          <w:shd w:val="clear" w:color="auto" w:fill="FFFFFF"/>
          <w:vertAlign w:val="baseline"/>
        </w:rPr>
        <w:t>（产品名称2）</w:t>
      </w:r>
      <w:r>
        <w:rPr>
          <w:rFonts w:ascii="宋体" w:eastAsia="宋体" w:hAnsi="宋体" w:cs="宋体" w:hint="eastAsia"/>
          <w:i w:val="0"/>
          <w:iCs w:val="0"/>
          <w:caps w:val="0"/>
          <w:color w:val="000000"/>
          <w:spacing w:val="0"/>
          <w:sz w:val="21"/>
          <w:szCs w:val="21"/>
          <w:u w:val="none"/>
          <w:shd w:val="clear" w:color="auto" w:fill="FFFFFF"/>
          <w:vertAlign w:val="baseline"/>
        </w:rPr>
        <w:t>的</w:t>
      </w:r>
      <w:r>
        <w:rPr>
          <w:rStyle w:val="Emphasis"/>
          <w:rFonts w:ascii="宋体" w:eastAsia="宋体" w:hAnsi="宋体" w:cs="宋体" w:hint="eastAsia"/>
          <w:i w:val="0"/>
          <w:iCs w:val="0"/>
          <w:caps w:val="0"/>
          <w:color w:val="000000"/>
          <w:spacing w:val="0"/>
          <w:sz w:val="21"/>
          <w:szCs w:val="21"/>
          <w:u w:val="none"/>
          <w:shd w:val="clear" w:color="auto" w:fill="FFFFFF"/>
          <w:vertAlign w:val="baseline"/>
        </w:rPr>
        <w:t>（关键组件）</w:t>
      </w:r>
      <w:r>
        <w:rPr>
          <w:rFonts w:ascii="宋体" w:eastAsia="宋体" w:hAnsi="宋体" w:cs="宋体" w:hint="eastAsia"/>
          <w:i w:val="0"/>
          <w:iCs w:val="0"/>
          <w:caps w:val="0"/>
          <w:color w:val="000000"/>
          <w:spacing w:val="0"/>
          <w:sz w:val="21"/>
          <w:szCs w:val="21"/>
          <w:u w:val="none"/>
          <w:shd w:val="clear" w:color="auto" w:fill="FFFFFF"/>
          <w:vertAlign w:val="baseline"/>
        </w:rPr>
        <w:t>在中国境内生产。</w:t>
      </w:r>
      <w:r>
        <w:rPr>
          <w:rStyle w:val="Emphasis"/>
          <w:rFonts w:ascii="宋体" w:eastAsia="宋体" w:hAnsi="宋体" w:cs="宋体" w:hint="eastAsia"/>
          <w:i w:val="0"/>
          <w:iCs w:val="0"/>
          <w:caps w:val="0"/>
          <w:color w:val="000000"/>
          <w:spacing w:val="0"/>
          <w:sz w:val="21"/>
          <w:szCs w:val="21"/>
          <w:u w:val="none"/>
          <w:shd w:val="clear" w:color="auto" w:fill="FFFFFF"/>
          <w:vertAlign w:val="baseline"/>
        </w:rPr>
        <w:t>（产品名称2）</w:t>
      </w:r>
      <w:r>
        <w:rPr>
          <w:rFonts w:ascii="宋体" w:eastAsia="宋体" w:hAnsi="宋体" w:cs="宋体" w:hint="eastAsia"/>
          <w:i w:val="0"/>
          <w:iCs w:val="0"/>
          <w:caps w:val="0"/>
          <w:color w:val="000000"/>
          <w:spacing w:val="0"/>
          <w:sz w:val="21"/>
          <w:szCs w:val="21"/>
          <w:u w:val="none"/>
          <w:shd w:val="clear" w:color="auto" w:fill="FFFFFF"/>
          <w:vertAlign w:val="baseline"/>
        </w:rPr>
        <w:t>的</w:t>
      </w:r>
      <w:r>
        <w:rPr>
          <w:rStyle w:val="Emphasis"/>
          <w:rFonts w:ascii="宋体" w:eastAsia="宋体" w:hAnsi="宋体" w:cs="宋体" w:hint="eastAsia"/>
          <w:i w:val="0"/>
          <w:iCs w:val="0"/>
          <w:caps w:val="0"/>
          <w:color w:val="000000"/>
          <w:spacing w:val="0"/>
          <w:sz w:val="21"/>
          <w:szCs w:val="21"/>
          <w:u w:val="none"/>
          <w:shd w:val="clear" w:color="auto" w:fill="FFFFFF"/>
          <w:vertAlign w:val="baseline"/>
        </w:rPr>
        <w:t>（关键工序）</w:t>
      </w:r>
      <w:r>
        <w:rPr>
          <w:rFonts w:ascii="宋体" w:eastAsia="宋体" w:hAnsi="宋体" w:cs="宋体" w:hint="eastAsia"/>
          <w:i w:val="0"/>
          <w:iCs w:val="0"/>
          <w:caps w:val="0"/>
          <w:color w:val="000000"/>
          <w:spacing w:val="0"/>
          <w:sz w:val="21"/>
          <w:szCs w:val="21"/>
          <w:u w:val="none"/>
          <w:shd w:val="clear" w:color="auto" w:fill="FFFFFF"/>
          <w:vertAlign w:val="baseline"/>
        </w:rPr>
        <w:t>在中国境内完成。</w:t>
      </w:r>
    </w:p>
    <w:p>
      <w:pPr>
        <w:pStyle w:val="NormalWeb"/>
        <w:keepNext w:val="0"/>
        <w:keepLines w:val="0"/>
        <w:pageBreakBefore w:val="0"/>
        <w:widowControl/>
        <w:suppressLineNumbers w:val="0"/>
        <w:pBdr>
          <w:top w:val="nil"/>
          <w:left w:val="nil"/>
          <w:bottom w:val="nil"/>
          <w:right w:val="nil"/>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ascii="宋体" w:eastAsia="宋体" w:hAnsi="宋体" w:cs="宋体" w:hint="eastAsia"/>
          <w:sz w:val="21"/>
          <w:szCs w:val="21"/>
        </w:rPr>
      </w:pPr>
      <w:r>
        <w:rPr>
          <w:rFonts w:ascii="宋体" w:eastAsia="宋体" w:hAnsi="宋体" w:cs="宋体" w:hint="eastAsia"/>
          <w:i w:val="0"/>
          <w:iCs w:val="0"/>
          <w:caps w:val="0"/>
          <w:color w:val="000000"/>
          <w:spacing w:val="0"/>
          <w:sz w:val="21"/>
          <w:szCs w:val="21"/>
          <w:u w:val="none"/>
          <w:shd w:val="clear" w:color="auto" w:fill="FFFFFF"/>
          <w:vertAlign w:val="baseline"/>
        </w:rPr>
        <w:t>……</w:t>
      </w:r>
    </w:p>
    <w:p>
      <w:pPr>
        <w:pStyle w:val="NormalWeb"/>
        <w:keepNext w:val="0"/>
        <w:keepLines w:val="0"/>
        <w:pageBreakBefore w:val="0"/>
        <w:widowControl/>
        <w:suppressLineNumbers w:val="0"/>
        <w:pBdr>
          <w:top w:val="nil"/>
          <w:left w:val="nil"/>
          <w:bottom w:val="nil"/>
          <w:right w:val="nil"/>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ascii="宋体" w:eastAsia="宋体" w:hAnsi="宋体" w:cs="宋体" w:hint="eastAsia"/>
          <w:sz w:val="21"/>
          <w:szCs w:val="21"/>
        </w:rPr>
      </w:pPr>
      <w:r>
        <w:rPr>
          <w:rFonts w:ascii="宋体" w:eastAsia="宋体" w:hAnsi="宋体" w:cs="宋体" w:hint="eastAsia"/>
          <w:i w:val="0"/>
          <w:iCs w:val="0"/>
          <w:caps w:val="0"/>
          <w:color w:val="000000"/>
          <w:spacing w:val="0"/>
          <w:sz w:val="21"/>
          <w:szCs w:val="21"/>
          <w:u w:val="none"/>
          <w:shd w:val="clear" w:color="auto" w:fill="FFFFFF"/>
          <w:vertAlign w:val="baseline"/>
        </w:rPr>
        <w:t>本公司（单位）对上述声明内容的真实性负责。如有虚假，愿承担相应法律责任。</w:t>
      </w:r>
    </w:p>
    <w:p>
      <w:pPr>
        <w:pStyle w:val="NormalWeb"/>
        <w:keepNext w:val="0"/>
        <w:keepLines w:val="0"/>
        <w:pageBreakBefore w:val="0"/>
        <w:widowControl/>
        <w:suppressLineNumbers w:val="0"/>
        <w:pBdr>
          <w:top w:val="nil"/>
          <w:left w:val="nil"/>
          <w:bottom w:val="nil"/>
          <w:right w:val="nil"/>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ascii="宋体" w:eastAsia="宋体" w:hAnsi="宋体" w:cs="宋体" w:hint="eastAsia"/>
          <w:sz w:val="21"/>
          <w:szCs w:val="21"/>
        </w:rPr>
      </w:pPr>
      <w:r>
        <w:rPr>
          <w:rFonts w:ascii="宋体" w:eastAsia="宋体" w:hAnsi="宋体" w:cs="宋体" w:hint="eastAsia"/>
          <w:i w:val="0"/>
          <w:iCs w:val="0"/>
          <w:caps w:val="0"/>
          <w:color w:val="000000"/>
          <w:spacing w:val="0"/>
          <w:sz w:val="21"/>
          <w:szCs w:val="21"/>
          <w:u w:val="none"/>
          <w:shd w:val="clear" w:color="auto" w:fill="FFFFFF"/>
          <w:vertAlign w:val="baseline"/>
        </w:rPr>
        <w:t> </w:t>
      </w:r>
    </w:p>
    <w:p>
      <w:pPr>
        <w:pStyle w:val="NormalWeb"/>
        <w:keepNext w:val="0"/>
        <w:keepLines w:val="0"/>
        <w:pageBreakBefore w:val="0"/>
        <w:widowControl/>
        <w:suppressLineNumbers w:val="0"/>
        <w:pBdr>
          <w:top w:val="nil"/>
          <w:left w:val="nil"/>
          <w:bottom w:val="nil"/>
          <w:right w:val="nil"/>
        </w:pBdr>
        <w:kinsoku/>
        <w:wordWrap/>
        <w:overflowPunct/>
        <w:topLinePunct w:val="0"/>
        <w:autoSpaceDE/>
        <w:autoSpaceDN/>
        <w:bidi w:val="0"/>
        <w:adjustRightInd/>
        <w:snapToGrid/>
        <w:spacing w:before="0" w:beforeAutospacing="0" w:after="0" w:afterAutospacing="0" w:line="560" w:lineRule="atLeast"/>
        <w:ind w:left="0" w:right="890" w:firstLine="0" w:rightChars="424"/>
        <w:jc w:val="right"/>
        <w:textAlignment w:val="baseline"/>
        <w:rPr>
          <w:rFonts w:ascii="宋体" w:eastAsia="宋体" w:hAnsi="宋体" w:cs="宋体" w:hint="eastAsia"/>
          <w:sz w:val="21"/>
          <w:szCs w:val="21"/>
        </w:rPr>
      </w:pPr>
      <w:r>
        <w:rPr>
          <w:rFonts w:ascii="宋体" w:eastAsia="宋体" w:hAnsi="宋体" w:cs="宋体" w:hint="eastAsia"/>
          <w:i w:val="0"/>
          <w:iCs w:val="0"/>
          <w:caps w:val="0"/>
          <w:color w:val="000000"/>
          <w:spacing w:val="0"/>
          <w:sz w:val="21"/>
          <w:szCs w:val="21"/>
          <w:u w:val="none"/>
          <w:shd w:val="clear" w:color="auto" w:fill="FFFFFF"/>
          <w:vertAlign w:val="baseline"/>
        </w:rPr>
        <w:t>公司（单位）名称：　        </w:t>
      </w:r>
    </w:p>
    <w:p>
      <w:pPr>
        <w:pStyle w:val="NormalWeb"/>
        <w:keepNext w:val="0"/>
        <w:keepLines w:val="0"/>
        <w:pageBreakBefore w:val="0"/>
        <w:widowControl/>
        <w:suppressLineNumbers w:val="0"/>
        <w:pBdr>
          <w:top w:val="nil"/>
          <w:left w:val="nil"/>
          <w:bottom w:val="nil"/>
          <w:right w:val="nil"/>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ascii="宋体" w:eastAsia="宋体" w:hAnsi="宋体" w:cs="宋体" w:hint="eastAsia"/>
          <w:sz w:val="21"/>
          <w:szCs w:val="21"/>
        </w:rPr>
      </w:pPr>
      <w:r>
        <w:rPr>
          <w:rFonts w:ascii="宋体" w:eastAsia="宋体" w:hAnsi="宋体" w:cs="宋体" w:hint="eastAsia"/>
          <w:i w:val="0"/>
          <w:iCs w:val="0"/>
          <w:caps w:val="0"/>
          <w:color w:val="000000"/>
          <w:spacing w:val="0"/>
          <w:sz w:val="21"/>
          <w:szCs w:val="21"/>
          <w:u w:val="none"/>
          <w:shd w:val="clear" w:color="auto" w:fill="FFFFFF"/>
          <w:vertAlign w:val="baseline"/>
        </w:rPr>
        <w:t>日期：　     年　  月　  日         </w:t>
      </w:r>
    </w:p>
    <w:p>
      <w:pPr>
        <w:pStyle w:val="NormalWeb"/>
        <w:keepNext w:val="0"/>
        <w:keepLines w:val="0"/>
        <w:pageBreakBefore w:val="0"/>
        <w:widowControl/>
        <w:suppressLineNumbers w:val="0"/>
        <w:pBdr>
          <w:top w:val="nil"/>
          <w:left w:val="nil"/>
          <w:bottom w:val="nil"/>
          <w:right w:val="nil"/>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ascii="宋体" w:eastAsia="宋体" w:hAnsi="宋体" w:cs="宋体" w:hint="eastAsia"/>
          <w:i w:val="0"/>
          <w:iCs w:val="0"/>
          <w:caps w:val="0"/>
          <w:color w:val="000000"/>
          <w:spacing w:val="0"/>
          <w:sz w:val="21"/>
          <w:szCs w:val="21"/>
          <w:u w:val="none"/>
          <w:shd w:val="clear" w:color="auto" w:fill="FFFFFF"/>
          <w:vertAlign w:val="baseline"/>
        </w:rPr>
      </w:pPr>
    </w:p>
    <w:p>
      <w:pPr>
        <w:pStyle w:val="NormalWeb"/>
        <w:keepNext w:val="0"/>
        <w:keepLines w:val="0"/>
        <w:pageBreakBefore w:val="0"/>
        <w:widowControl/>
        <w:suppressLineNumbers w:val="0"/>
        <w:pBdr>
          <w:top w:val="nil"/>
          <w:left w:val="nil"/>
          <w:bottom w:val="nil"/>
          <w:right w:val="nil"/>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ascii="宋体" w:eastAsia="宋体" w:hAnsi="宋体" w:cs="宋体" w:hint="eastAsia"/>
          <w:sz w:val="21"/>
          <w:szCs w:val="21"/>
        </w:rPr>
      </w:pPr>
      <w:r>
        <w:rPr>
          <w:rFonts w:ascii="宋体" w:eastAsia="宋体" w:hAnsi="宋体" w:cs="宋体" w:hint="eastAsia"/>
          <w:i w:val="0"/>
          <w:iCs w:val="0"/>
          <w:caps w:val="0"/>
          <w:color w:val="000000"/>
          <w:spacing w:val="0"/>
          <w:sz w:val="21"/>
          <w:szCs w:val="21"/>
          <w:u w:val="none"/>
          <w:shd w:val="clear" w:color="auto" w:fill="FFFFFF"/>
          <w:vertAlign w:val="baseline"/>
        </w:rPr>
        <w:t>1.产品如有型号，请在“产品名称”栏一并填写。</w:t>
      </w:r>
    </w:p>
    <w:p>
      <w:pPr>
        <w:pStyle w:val="NormalWeb"/>
        <w:keepNext w:val="0"/>
        <w:keepLines w:val="0"/>
        <w:pageBreakBefore w:val="0"/>
        <w:widowControl/>
        <w:suppressLineNumbers w:val="0"/>
        <w:pBdr>
          <w:top w:val="nil"/>
          <w:left w:val="nil"/>
          <w:bottom w:val="nil"/>
          <w:right w:val="nil"/>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ascii="宋体" w:eastAsia="宋体" w:hAnsi="宋体" w:cs="宋体" w:hint="eastAsia"/>
          <w:sz w:val="21"/>
          <w:szCs w:val="21"/>
        </w:rPr>
      </w:pPr>
      <w:r>
        <w:rPr>
          <w:rFonts w:ascii="宋体" w:eastAsia="宋体" w:hAnsi="宋体" w:cs="宋体" w:hint="eastAsia"/>
          <w:i w:val="0"/>
          <w:iCs w:val="0"/>
          <w:caps w:val="0"/>
          <w:color w:val="000000"/>
          <w:spacing w:val="0"/>
          <w:sz w:val="21"/>
          <w:szCs w:val="21"/>
          <w:u w:val="none"/>
          <w:shd w:val="clear" w:color="auto" w:fill="FFFFFF"/>
          <w:vertAlign w:val="baseline"/>
        </w:rPr>
        <w:t>2.生产厂名与厂址应与生产厂营业执照载明的相关信息保持一致。</w:t>
      </w:r>
    </w:p>
    <w:p>
      <w:pPr>
        <w:pStyle w:val="NormalWeb"/>
        <w:keepNext w:val="0"/>
        <w:keepLines w:val="0"/>
        <w:pageBreakBefore w:val="0"/>
        <w:widowControl/>
        <w:suppressLineNumbers w:val="0"/>
        <w:pBdr>
          <w:top w:val="nil"/>
          <w:left w:val="nil"/>
          <w:bottom w:val="nil"/>
          <w:right w:val="nil"/>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ascii="宋体" w:eastAsia="宋体" w:hAnsi="宋体" w:cs="宋体" w:hint="eastAsia"/>
          <w:sz w:val="21"/>
          <w:szCs w:val="21"/>
        </w:rPr>
      </w:pPr>
      <w:r>
        <w:rPr>
          <w:rFonts w:ascii="宋体" w:eastAsia="宋体" w:hAnsi="宋体" w:cs="宋体" w:hint="eastAsia"/>
          <w:i w:val="0"/>
          <w:iCs w:val="0"/>
          <w:caps w:val="0"/>
          <w:color w:val="000000"/>
          <w:spacing w:val="0"/>
          <w:sz w:val="21"/>
          <w:szCs w:val="21"/>
          <w:u w:val="none"/>
          <w:shd w:val="clear" w:color="auto" w:fill="FFFFFF"/>
          <w:vertAlign w:val="baseline"/>
        </w:rPr>
        <w:t>3.该产品的中国境内生产的组件成本占比相关要求实施前，“规定比例”栏可不填，下同。</w:t>
      </w:r>
    </w:p>
    <w:p>
      <w:pPr>
        <w:pStyle w:val="NormalWeb"/>
        <w:keepNext w:val="0"/>
        <w:keepLines w:val="0"/>
        <w:pageBreakBefore w:val="0"/>
        <w:widowControl/>
        <w:suppressLineNumbers w:val="0"/>
        <w:pBdr>
          <w:top w:val="nil"/>
          <w:left w:val="nil"/>
          <w:bottom w:val="nil"/>
          <w:right w:val="nil"/>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ascii="宋体" w:eastAsia="宋体" w:hAnsi="宋体" w:cs="宋体" w:hint="eastAsia"/>
          <w:sz w:val="21"/>
          <w:szCs w:val="21"/>
        </w:rPr>
      </w:pPr>
      <w:r>
        <w:rPr>
          <w:rFonts w:ascii="宋体" w:eastAsia="宋体" w:hAnsi="宋体" w:cs="宋体" w:hint="eastAsia"/>
          <w:i w:val="0"/>
          <w:iCs w:val="0"/>
          <w:caps w:val="0"/>
          <w:color w:val="000000"/>
          <w:spacing w:val="0"/>
          <w:sz w:val="21"/>
          <w:szCs w:val="21"/>
          <w:u w:val="none"/>
          <w:shd w:val="clear" w:color="auto" w:fill="FFFFFF"/>
          <w:vertAlign w:val="baseline"/>
        </w:rPr>
        <w:t>4.该产品的关键组件要求实施前，“关键组件”栏可不填，下同。</w:t>
      </w:r>
    </w:p>
    <w:p>
      <w:pPr>
        <w:pStyle w:val="NormalWeb"/>
        <w:keepNext w:val="0"/>
        <w:keepLines w:val="0"/>
        <w:pageBreakBefore w:val="0"/>
        <w:widowControl/>
        <w:suppressLineNumbers w:val="0"/>
        <w:pBdr>
          <w:top w:val="nil"/>
          <w:left w:val="nil"/>
          <w:bottom w:val="nil"/>
          <w:right w:val="nil"/>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ascii="宋体" w:eastAsia="宋体" w:hAnsi="宋体" w:cs="宋体" w:hint="eastAsia"/>
          <w:i w:val="0"/>
          <w:iCs w:val="0"/>
          <w:caps w:val="0"/>
          <w:color w:val="000000"/>
          <w:spacing w:val="0"/>
          <w:sz w:val="21"/>
          <w:szCs w:val="21"/>
          <w:u w:val="none"/>
          <w:shd w:val="clear" w:color="auto" w:fill="FFFFFF"/>
          <w:vertAlign w:val="baseline"/>
        </w:rPr>
      </w:pPr>
      <w:r>
        <w:rPr>
          <w:rFonts w:ascii="宋体" w:eastAsia="宋体" w:hAnsi="宋体" w:cs="宋体" w:hint="eastAsia"/>
          <w:i w:val="0"/>
          <w:iCs w:val="0"/>
          <w:caps w:val="0"/>
          <w:color w:val="000000"/>
          <w:spacing w:val="0"/>
          <w:sz w:val="21"/>
          <w:szCs w:val="21"/>
          <w:u w:val="none"/>
          <w:shd w:val="clear" w:color="auto" w:fill="FFFFFF"/>
          <w:vertAlign w:val="baseline"/>
        </w:rPr>
        <w:t>5.该产品的关键工序要求实施前，“关键工序”栏可不填，下同。</w:t>
      </w:r>
    </w:p>
    <w:p>
      <w:pPr>
        <w:pStyle w:val="NormalWeb"/>
        <w:keepNext w:val="0"/>
        <w:keepLines w:val="0"/>
        <w:pageBreakBefore w:val="0"/>
        <w:widowControl/>
        <w:suppressLineNumbers w:val="0"/>
        <w:pBdr>
          <w:top w:val="nil"/>
          <w:left w:val="nil"/>
          <w:bottom w:val="nil"/>
          <w:right w:val="nil"/>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ascii="仿宋" w:eastAsia="仿宋" w:hAnsi="仿宋" w:cs="仿宋" w:hint="eastAsia"/>
          <w:b/>
          <w:bCs/>
          <w:i w:val="0"/>
          <w:iCs w:val="0"/>
          <w:caps w:val="0"/>
          <w:color w:val="000000"/>
          <w:spacing w:val="0"/>
          <w:sz w:val="24"/>
          <w:szCs w:val="24"/>
          <w:u w:val="none"/>
          <w:shd w:val="clear" w:color="auto" w:fill="FFFFFF"/>
          <w:vertAlign w:val="baseline"/>
          <w:lang w:val="en-US" w:eastAsia="zh-CN"/>
        </w:rPr>
      </w:pPr>
      <w:r>
        <w:rPr>
          <w:rFonts w:ascii="仿宋" w:eastAsia="仿宋" w:hAnsi="仿宋" w:cs="仿宋" w:hint="eastAsia"/>
          <w:b/>
          <w:bCs/>
          <w:i w:val="0"/>
          <w:iCs w:val="0"/>
          <w:caps w:val="0"/>
          <w:color w:val="000000"/>
          <w:spacing w:val="0"/>
          <w:sz w:val="24"/>
          <w:szCs w:val="24"/>
          <w:u w:val="none"/>
          <w:shd w:val="clear" w:color="auto" w:fill="FFFFFF"/>
          <w:vertAlign w:val="baseline"/>
          <w:lang w:val="en-US" w:eastAsia="zh-CN"/>
        </w:rPr>
        <w:t>注：以上产品应符合《国务院办公厅关于在政府采购中实施本国产品标准及相关政策的通知》（国办发〔2025〕34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国务院办公厅关于在政府采购中实施本国产品标准及相关政策的通知》（国办发〔2025〕34号）文件，并对声明函的真实性负责。如对相关信息了解不充分，或者不能确定相关信息真实、准确的，不建议出具此声明函。</w:t>
      </w:r>
    </w:p>
    <w:p>
      <w:pPr>
        <w:spacing w:line="360" w:lineRule="auto"/>
        <w:rPr>
          <w:rFonts w:hint="eastAsia"/>
        </w:rPr>
      </w:pPr>
    </w:p>
    <w:p>
      <w:pPr>
        <w:rPr>
          <w:rFonts w:ascii="仿宋_GB2312" w:eastAsia="仿宋_GB2312"/>
          <w:b/>
          <w:color w:val="FF0000"/>
          <w:sz w:val="30"/>
          <w:szCs w:val="30"/>
        </w:rPr>
      </w:pPr>
      <w:bookmarkStart w:id="11" w:name="_GoBack"/>
      <w:bookmarkEnd w:id="11"/>
      <w:r>
        <w:rPr>
          <w:rFonts w:ascii="仿宋_GB2312" w:eastAsia="仿宋_GB2312" w:hint="eastAsia"/>
          <w:b/>
          <w:color w:val="FF0000"/>
          <w:sz w:val="30"/>
          <w:szCs w:val="30"/>
        </w:rPr>
        <w:br w:type="page"/>
      </w:r>
      <w:r>
        <w:rPr>
          <w:rFonts w:ascii="仿宋_GB2312" w:eastAsia="仿宋_GB2312" w:hint="eastAsia"/>
          <w:b/>
          <w:color w:val="FF0000"/>
          <w:sz w:val="30"/>
          <w:szCs w:val="30"/>
        </w:rPr>
        <w:t>投标文件附件（信息不公开部分）：</w:t>
      </w:r>
    </w:p>
    <w:p>
      <w:pPr>
        <w:keepNext/>
        <w:keepLines/>
        <w:spacing w:before="260" w:after="260"/>
        <w:jc w:val="center"/>
        <w:outlineLvl w:val="2"/>
        <w:rPr>
          <w:rFonts w:ascii="黑体" w:eastAsia="黑体" w:hAnsi="宋体"/>
          <w:bCs/>
          <w:kern w:val="0"/>
          <w:sz w:val="24"/>
          <w:szCs w:val="32"/>
        </w:rPr>
      </w:pPr>
      <w:r>
        <w:rPr>
          <w:rFonts w:ascii="黑体" w:eastAsia="黑体" w:hAnsi="宋体" w:hint="eastAsia"/>
          <w:bCs/>
          <w:kern w:val="0"/>
          <w:sz w:val="24"/>
          <w:szCs w:val="32"/>
          <w:lang w:val="en-US" w:eastAsia="zh-CN"/>
        </w:rPr>
        <w:t>一</w:t>
      </w:r>
      <w:r>
        <w:rPr>
          <w:rFonts w:ascii="黑体" w:eastAsia="黑体" w:hAnsi="宋体" w:hint="eastAsia"/>
          <w:bCs/>
          <w:kern w:val="0"/>
          <w:sz w:val="24"/>
          <w:szCs w:val="32"/>
        </w:rPr>
        <w:t>、政府采购违法行为风险知悉确认书</w:t>
      </w:r>
    </w:p>
    <w:p>
      <w:pPr>
        <w:spacing w:before="0" w:beforeLines="0" w:after="156" w:afterLines="50" w:line="360" w:lineRule="exact"/>
        <w:ind w:firstLine="420" w:firstLineChars="200"/>
        <w:rPr>
          <w:rFonts w:ascii="宋体" w:eastAsia="宋体" w:hAnsi="宋体" w:cs="宋体" w:hint="eastAsia"/>
          <w:b/>
          <w:bCs/>
          <w:color w:val="auto"/>
          <w:sz w:val="21"/>
          <w:szCs w:val="21"/>
          <w:lang w:val="en-US" w:eastAsia="zh-CN"/>
        </w:rPr>
      </w:pPr>
      <w:r>
        <w:rPr>
          <w:rFonts w:ascii="宋体" w:eastAsia="宋体" w:hAnsi="宋体" w:cs="宋体" w:hint="eastAsia"/>
          <w:b/>
          <w:bCs/>
          <w:color w:val="auto"/>
          <w:sz w:val="21"/>
          <w:szCs w:val="21"/>
          <w:lang w:eastAsia="zh-CN"/>
        </w:rPr>
        <w:t>我</w:t>
      </w:r>
      <w:r>
        <w:rPr>
          <w:rFonts w:ascii="宋体" w:eastAsia="宋体" w:hAnsi="宋体" w:cs="宋体" w:hint="eastAsia"/>
          <w:b/>
          <w:bCs/>
          <w:color w:val="auto"/>
          <w:sz w:val="21"/>
          <w:szCs w:val="21"/>
          <w:lang w:val="en-US" w:eastAsia="zh-CN"/>
        </w:rPr>
        <w:t>单位</w:t>
      </w:r>
      <w:r>
        <w:rPr>
          <w:rFonts w:ascii="宋体" w:eastAsia="宋体" w:hAnsi="宋体" w:cs="宋体" w:hint="eastAsia"/>
          <w:b/>
          <w:bCs/>
          <w:color w:val="auto"/>
          <w:sz w:val="21"/>
          <w:szCs w:val="21"/>
        </w:rPr>
        <w:t>在投标前已充分知悉以下情形为参与政府采购活动时的重大风险事项，并承诺已对下述风险提示事项重点排查，</w:t>
      </w:r>
      <w:r>
        <w:rPr>
          <w:rFonts w:ascii="宋体" w:eastAsia="宋体" w:hAnsi="宋体" w:cs="宋体" w:hint="eastAsia"/>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1"/>
        <w:gridCol w:w="781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jc w:val="center"/>
        </w:trPr>
        <w:tc>
          <w:tcPr>
            <w:tcW w:w="711" w:type="dxa"/>
            <w:tcBorders>
              <w:top w:val="single" w:sz="4" w:space="0" w:color="auto"/>
              <w:left w:val="single" w:sz="4" w:space="0" w:color="auto"/>
              <w:bottom w:val="single" w:sz="4" w:space="0" w:color="auto"/>
              <w:right w:val="single" w:sz="4" w:space="0" w:color="auto"/>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序号</w:t>
            </w:r>
          </w:p>
        </w:tc>
        <w:tc>
          <w:tcPr>
            <w:tcW w:w="7811" w:type="dxa"/>
            <w:tcBorders>
              <w:top w:val="single" w:sz="4" w:space="0" w:color="auto"/>
              <w:left w:val="single" w:sz="4" w:space="0" w:color="auto"/>
              <w:bottom w:val="single" w:sz="4" w:space="0" w:color="auto"/>
              <w:right w:val="single" w:sz="4" w:space="0" w:color="auto"/>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供应商参与投标禁止情形</w:t>
            </w:r>
          </w:p>
        </w:tc>
      </w:tr>
      <w:tr>
        <w:tblPrEx>
          <w:tblW w:w="0" w:type="auto"/>
          <w:jc w:val="center"/>
          <w:tblLayout w:type="fixed"/>
          <w:tblCellMar>
            <w:top w:w="0" w:type="dxa"/>
            <w:left w:w="108" w:type="dxa"/>
            <w:bottom w:w="0" w:type="dxa"/>
            <w:right w:w="108" w:type="dxa"/>
          </w:tblCellMar>
        </w:tblPrEx>
        <w:trPr>
          <w:jc w:val="center"/>
        </w:trPr>
        <w:tc>
          <w:tcPr>
            <w:tcW w:w="711" w:type="dxa"/>
            <w:tcBorders>
              <w:top w:val="single" w:sz="4" w:space="0" w:color="auto"/>
              <w:left w:val="single" w:sz="4" w:space="0" w:color="auto"/>
              <w:bottom w:val="single" w:sz="4" w:space="0" w:color="auto"/>
              <w:right w:val="single" w:sz="4" w:space="0" w:color="auto"/>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1</w:t>
            </w:r>
          </w:p>
        </w:tc>
        <w:tc>
          <w:tcPr>
            <w:tcW w:w="781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auto"/>
                <w:sz w:val="21"/>
                <w:szCs w:val="21"/>
                <w:highlight w:val="none"/>
                <w:lang w:val="en-US" w:eastAsia="zh-CN"/>
              </w:rPr>
              <w:t>同一人、属同一单位或者在同一单位缴纳社会保险</w:t>
            </w:r>
            <w:r>
              <w:rPr>
                <w:rFonts w:ascii="宋体" w:eastAsia="宋体" w:hAnsi="宋体" w:cs="宋体" w:hint="eastAsia"/>
                <w:color w:val="auto"/>
                <w:sz w:val="21"/>
                <w:szCs w:val="21"/>
                <w:highlight w:val="none"/>
                <w:lang w:val="en-US" w:eastAsia="zh-CN"/>
              </w:rPr>
              <w:t>。</w:t>
            </w:r>
          </w:p>
        </w:tc>
      </w:tr>
      <w:tr>
        <w:tblPrEx>
          <w:tblW w:w="0" w:type="auto"/>
          <w:jc w:val="center"/>
          <w:tblLayout w:type="fixed"/>
          <w:tblCellMar>
            <w:top w:w="0" w:type="dxa"/>
            <w:left w:w="108" w:type="dxa"/>
            <w:bottom w:w="0" w:type="dxa"/>
            <w:right w:w="108" w:type="dxa"/>
          </w:tblCellMar>
        </w:tblPrEx>
        <w:trPr>
          <w:trHeight w:val="90"/>
          <w:jc w:val="center"/>
        </w:trPr>
        <w:tc>
          <w:tcPr>
            <w:tcW w:w="711" w:type="dxa"/>
            <w:tcBorders>
              <w:top w:val="single" w:sz="4" w:space="0" w:color="auto"/>
              <w:left w:val="single" w:sz="4" w:space="0" w:color="auto"/>
              <w:bottom w:val="single" w:sz="4" w:space="0" w:color="auto"/>
              <w:right w:val="single" w:sz="4" w:space="0" w:color="auto"/>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2</w:t>
            </w:r>
          </w:p>
        </w:tc>
        <w:tc>
          <w:tcPr>
            <w:tcW w:w="781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参与本项目政府采购活动时，与其他投标供应商存在单位负责人为</w:t>
            </w:r>
            <w:r>
              <w:rPr>
                <w:rFonts w:ascii="宋体" w:eastAsia="宋体" w:hAnsi="宋体" w:cs="宋体" w:hint="eastAsia"/>
                <w:b/>
                <w:bCs/>
                <w:color w:val="auto"/>
                <w:sz w:val="21"/>
                <w:szCs w:val="21"/>
                <w:highlight w:val="none"/>
                <w:lang w:val="en-US" w:eastAsia="zh-CN"/>
              </w:rPr>
              <w:t>同一人或直接控股、管理关系</w:t>
            </w:r>
            <w:r>
              <w:rPr>
                <w:rFonts w:ascii="宋体" w:eastAsia="宋体" w:hAnsi="宋体" w:cs="宋体" w:hint="eastAsia"/>
                <w:color w:val="auto"/>
                <w:sz w:val="21"/>
                <w:szCs w:val="21"/>
                <w:highlight w:val="none"/>
                <w:lang w:val="en-US" w:eastAsia="zh-CN"/>
              </w:rPr>
              <w:t>。</w:t>
            </w:r>
          </w:p>
        </w:tc>
      </w:tr>
      <w:tr>
        <w:tblPrEx>
          <w:tblW w:w="0" w:type="auto"/>
          <w:jc w:val="center"/>
          <w:tblLayout w:type="fixed"/>
          <w:tblCellMar>
            <w:top w:w="0" w:type="dxa"/>
            <w:left w:w="108" w:type="dxa"/>
            <w:bottom w:w="0" w:type="dxa"/>
            <w:right w:w="108" w:type="dxa"/>
          </w:tblCellMar>
        </w:tblPrEx>
        <w:trPr>
          <w:jc w:val="center"/>
        </w:trPr>
        <w:tc>
          <w:tcPr>
            <w:tcW w:w="711" w:type="dxa"/>
            <w:tcBorders>
              <w:top w:val="single" w:sz="4" w:space="0" w:color="auto"/>
              <w:left w:val="single" w:sz="4" w:space="0" w:color="auto"/>
              <w:bottom w:val="single" w:sz="4" w:space="0" w:color="auto"/>
              <w:right w:val="single" w:sz="4" w:space="0" w:color="auto"/>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3</w:t>
            </w:r>
          </w:p>
        </w:tc>
        <w:tc>
          <w:tcPr>
            <w:tcW w:w="781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与其他投标供应商的投标文件或部分投标文件</w:t>
            </w:r>
            <w:r>
              <w:rPr>
                <w:rFonts w:ascii="宋体" w:eastAsia="宋体" w:hAnsi="宋体" w:cs="宋体" w:hint="eastAsia"/>
                <w:b/>
                <w:bCs/>
                <w:color w:val="auto"/>
                <w:sz w:val="21"/>
                <w:szCs w:val="21"/>
                <w:highlight w:val="none"/>
                <w:lang w:val="en-US" w:eastAsia="zh-CN"/>
              </w:rPr>
              <w:t>相互混装或存在非正常一致</w:t>
            </w:r>
            <w:r>
              <w:rPr>
                <w:rFonts w:ascii="宋体" w:eastAsia="宋体" w:hAnsi="宋体" w:cs="宋体" w:hint="eastAsia"/>
                <w:color w:val="auto"/>
                <w:sz w:val="21"/>
                <w:szCs w:val="21"/>
                <w:highlight w:val="none"/>
                <w:lang w:val="en-US" w:eastAsia="zh-CN"/>
              </w:rPr>
              <w:t>。</w:t>
            </w:r>
          </w:p>
        </w:tc>
      </w:tr>
      <w:tr>
        <w:tblPrEx>
          <w:tblW w:w="0" w:type="auto"/>
          <w:jc w:val="center"/>
          <w:tblLayout w:type="fixed"/>
          <w:tblCellMar>
            <w:top w:w="0" w:type="dxa"/>
            <w:left w:w="108" w:type="dxa"/>
            <w:bottom w:w="0" w:type="dxa"/>
            <w:right w:w="108" w:type="dxa"/>
          </w:tblCellMar>
        </w:tblPrEx>
        <w:trPr>
          <w:jc w:val="center"/>
        </w:trPr>
        <w:tc>
          <w:tcPr>
            <w:tcW w:w="711" w:type="dxa"/>
            <w:tcBorders>
              <w:top w:val="single" w:sz="4" w:space="0" w:color="auto"/>
              <w:left w:val="single" w:sz="4" w:space="0" w:color="auto"/>
              <w:bottom w:val="single" w:sz="4" w:space="0" w:color="auto"/>
              <w:right w:val="single" w:sz="4" w:space="0" w:color="auto"/>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4</w:t>
            </w:r>
          </w:p>
        </w:tc>
        <w:tc>
          <w:tcPr>
            <w:tcW w:w="781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与其他投标供应商的投标文件由</w:t>
            </w:r>
            <w:r>
              <w:rPr>
                <w:rFonts w:ascii="宋体" w:eastAsia="宋体" w:hAnsi="宋体" w:cs="宋体" w:hint="eastAsia"/>
                <w:b/>
                <w:bCs/>
                <w:color w:val="auto"/>
                <w:sz w:val="21"/>
                <w:szCs w:val="21"/>
                <w:highlight w:val="none"/>
                <w:lang w:val="en-US" w:eastAsia="zh-CN"/>
              </w:rPr>
              <w:t>同一单位或者同一人编制</w:t>
            </w:r>
            <w:r>
              <w:rPr>
                <w:rFonts w:ascii="宋体" w:eastAsia="宋体" w:hAnsi="宋体" w:cs="宋体" w:hint="eastAsia"/>
                <w:color w:val="auto"/>
                <w:sz w:val="21"/>
                <w:szCs w:val="21"/>
                <w:highlight w:val="none"/>
                <w:lang w:val="en-US" w:eastAsia="zh-CN"/>
              </w:rPr>
              <w:t>，或者使用</w:t>
            </w:r>
            <w:r>
              <w:rPr>
                <w:rFonts w:ascii="宋体" w:eastAsia="宋体" w:hAnsi="宋体" w:cs="宋体" w:hint="eastAsia"/>
                <w:b/>
                <w:bCs/>
                <w:color w:val="auto"/>
                <w:sz w:val="21"/>
                <w:szCs w:val="21"/>
                <w:highlight w:val="none"/>
                <w:lang w:val="en-US" w:eastAsia="zh-CN"/>
              </w:rPr>
              <w:t>同一设备编制</w:t>
            </w:r>
            <w:r>
              <w:rPr>
                <w:rFonts w:ascii="宋体" w:eastAsia="宋体" w:hAnsi="宋体" w:cs="宋体" w:hint="eastAsia"/>
                <w:color w:val="auto"/>
                <w:sz w:val="21"/>
                <w:szCs w:val="21"/>
                <w:highlight w:val="none"/>
                <w:lang w:val="en-US" w:eastAsia="zh-CN"/>
              </w:rPr>
              <w:t>（“文件制作机器码”“文件创建标识码”一致）。</w:t>
            </w:r>
          </w:p>
        </w:tc>
      </w:tr>
      <w:tr>
        <w:tblPrEx>
          <w:tblW w:w="0" w:type="auto"/>
          <w:jc w:val="center"/>
          <w:tblLayout w:type="fixed"/>
          <w:tblCellMar>
            <w:top w:w="0" w:type="dxa"/>
            <w:left w:w="108" w:type="dxa"/>
            <w:bottom w:w="0" w:type="dxa"/>
            <w:right w:w="108" w:type="dxa"/>
          </w:tblCellMar>
        </w:tblPrEx>
        <w:trPr>
          <w:trHeight w:val="90"/>
          <w:jc w:val="center"/>
        </w:trPr>
        <w:tc>
          <w:tcPr>
            <w:tcW w:w="711" w:type="dxa"/>
            <w:tcBorders>
              <w:top w:val="single" w:sz="4" w:space="0" w:color="auto"/>
              <w:left w:val="single" w:sz="4" w:space="0" w:color="auto"/>
              <w:bottom w:val="single" w:sz="4" w:space="0" w:color="auto"/>
              <w:right w:val="single" w:sz="4" w:space="0" w:color="auto"/>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5</w:t>
            </w:r>
          </w:p>
        </w:tc>
        <w:tc>
          <w:tcPr>
            <w:tcW w:w="781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提供</w:t>
            </w:r>
            <w:r>
              <w:rPr>
                <w:rFonts w:ascii="宋体" w:eastAsia="宋体" w:hAnsi="宋体" w:cs="宋体" w:hint="eastAsia"/>
                <w:b/>
                <w:bCs/>
                <w:color w:val="auto"/>
                <w:sz w:val="21"/>
                <w:szCs w:val="21"/>
                <w:highlight w:val="none"/>
                <w:lang w:val="en-US" w:eastAsia="zh-CN"/>
              </w:rPr>
              <w:t>未经出具机构核实</w:t>
            </w:r>
            <w:r>
              <w:rPr>
                <w:rFonts w:ascii="宋体" w:eastAsia="宋体" w:hAnsi="宋体" w:cs="宋体" w:hint="eastAsia"/>
                <w:color w:val="auto"/>
                <w:sz w:val="21"/>
                <w:szCs w:val="21"/>
                <w:highlight w:val="none"/>
                <w:lang w:val="en-US" w:eastAsia="zh-CN"/>
              </w:rPr>
              <w:t>的虚假的检验检测报告、业绩材料、社保缴纳证明、学历学位证书、职称认证证书等材料。</w:t>
            </w:r>
          </w:p>
        </w:tc>
      </w:tr>
      <w:tr>
        <w:tblPrEx>
          <w:tblW w:w="0" w:type="auto"/>
          <w:jc w:val="center"/>
          <w:tblLayout w:type="fixed"/>
          <w:tblCellMar>
            <w:top w:w="0" w:type="dxa"/>
            <w:left w:w="108" w:type="dxa"/>
            <w:bottom w:w="0" w:type="dxa"/>
            <w:right w:w="108" w:type="dxa"/>
          </w:tblCellMar>
        </w:tblPrEx>
        <w:trPr>
          <w:jc w:val="center"/>
        </w:trPr>
        <w:tc>
          <w:tcPr>
            <w:tcW w:w="711" w:type="dxa"/>
            <w:tcBorders>
              <w:top w:val="single" w:sz="4" w:space="0" w:color="auto"/>
              <w:left w:val="single" w:sz="4" w:space="0" w:color="auto"/>
              <w:bottom w:val="single" w:sz="4" w:space="0" w:color="auto"/>
              <w:right w:val="single" w:sz="4" w:space="0" w:color="auto"/>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6</w:t>
            </w:r>
          </w:p>
        </w:tc>
        <w:tc>
          <w:tcPr>
            <w:tcW w:w="781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擅自将投标密钥或电子营业执照出借他人使用或未妥善保管。</w:t>
            </w:r>
          </w:p>
        </w:tc>
      </w:tr>
    </w:tbl>
    <w:p>
      <w:pPr>
        <w:spacing w:before="156" w:beforeLines="50" w:line="380" w:lineRule="exact"/>
        <w:ind w:firstLine="420" w:firstLineChars="200"/>
        <w:rPr>
          <w:rFonts w:ascii="宋体" w:eastAsia="宋体" w:hAnsi="宋体" w:cs="宋体" w:hint="eastAsia"/>
          <w:b/>
          <w:color w:val="auto"/>
          <w:sz w:val="21"/>
          <w:szCs w:val="21"/>
        </w:rPr>
      </w:pPr>
      <w:r>
        <w:rPr>
          <w:rFonts w:ascii="宋体" w:eastAsia="宋体" w:hAnsi="宋体" w:cs="宋体" w:hint="eastAsia"/>
          <w:b/>
          <w:color w:val="auto"/>
          <w:sz w:val="21"/>
          <w:szCs w:val="21"/>
        </w:rPr>
        <w:t>一、</w:t>
      </w:r>
      <w:r>
        <w:rPr>
          <w:rFonts w:ascii="宋体" w:eastAsia="宋体" w:hAnsi="宋体" w:cs="宋体" w:hint="eastAsia"/>
          <w:b/>
          <w:color w:val="auto"/>
          <w:sz w:val="21"/>
          <w:szCs w:val="21"/>
          <w:lang w:eastAsia="zh-CN"/>
        </w:rPr>
        <w:t>我</w:t>
      </w:r>
      <w:r>
        <w:rPr>
          <w:rFonts w:ascii="宋体" w:eastAsia="宋体" w:hAnsi="宋体" w:cs="宋体" w:hint="eastAsia"/>
          <w:b/>
          <w:color w:val="auto"/>
          <w:sz w:val="21"/>
          <w:szCs w:val="21"/>
          <w:lang w:val="en-US" w:eastAsia="zh-CN"/>
        </w:rPr>
        <w:t>单位</w:t>
      </w:r>
      <w:r>
        <w:rPr>
          <w:rFonts w:ascii="宋体" w:eastAsia="宋体" w:hAnsi="宋体" w:cs="宋体" w:hint="eastAsia"/>
          <w:b/>
          <w:color w:val="auto"/>
          <w:sz w:val="21"/>
          <w:szCs w:val="21"/>
        </w:rPr>
        <w:t>已充分知悉“隐瞒真实情况，提供虚假资料”的法定情形，包括但不限于：</w:t>
      </w:r>
    </w:p>
    <w:p>
      <w:pPr>
        <w:spacing w:beforeLines="0" w:line="380" w:lineRule="exact"/>
        <w:ind w:firstLine="420" w:firstLineChars="200"/>
        <w:rPr>
          <w:rFonts w:ascii="宋体" w:eastAsia="宋体" w:hAnsi="宋体" w:cs="宋体" w:hint="eastAsia"/>
          <w:color w:val="auto"/>
          <w:sz w:val="21"/>
          <w:szCs w:val="21"/>
        </w:rPr>
      </w:pPr>
      <w:r>
        <w:rPr>
          <w:rFonts w:ascii="宋体" w:eastAsia="宋体" w:hAnsi="宋体" w:cs="宋体" w:hint="eastAsia"/>
          <w:color w:val="auto"/>
          <w:sz w:val="21"/>
          <w:szCs w:val="21"/>
        </w:rPr>
        <w:t>（一）通过转让或者租借等方式从其他单位获取资格或者资质证书投标的</w:t>
      </w:r>
      <w:r>
        <w:rPr>
          <w:rFonts w:ascii="宋体" w:eastAsia="宋体" w:hAnsi="宋体" w:cs="宋体" w:hint="eastAsia"/>
          <w:color w:val="auto"/>
          <w:sz w:val="21"/>
          <w:szCs w:val="21"/>
          <w:highlight w:val="none"/>
        </w:rPr>
        <w:t>。</w:t>
      </w:r>
    </w:p>
    <w:p>
      <w:pPr>
        <w:spacing w:beforeLines="0" w:line="380" w:lineRule="exact"/>
        <w:ind w:firstLine="420" w:firstLineChars="200"/>
        <w:rPr>
          <w:rFonts w:ascii="宋体" w:eastAsia="宋体" w:hAnsi="宋体" w:cs="宋体" w:hint="eastAsia"/>
          <w:color w:val="auto"/>
          <w:sz w:val="21"/>
          <w:szCs w:val="21"/>
        </w:rPr>
      </w:pPr>
      <w:r>
        <w:rPr>
          <w:rFonts w:ascii="宋体" w:eastAsia="宋体" w:hAnsi="宋体" w:cs="宋体" w:hint="eastAsia"/>
          <w:color w:val="auto"/>
          <w:sz w:val="21"/>
          <w:szCs w:val="21"/>
        </w:rPr>
        <w:t>（二）由其他单位或者其他单位负责人在投标供应商编制的投标文件上加盖印章或者签字的。</w:t>
      </w:r>
    </w:p>
    <w:p>
      <w:pPr>
        <w:spacing w:beforeLines="0" w:line="380" w:lineRule="exact"/>
        <w:ind w:firstLine="420" w:firstLineChars="200"/>
        <w:rPr>
          <w:rFonts w:ascii="宋体" w:eastAsia="宋体" w:hAnsi="宋体" w:cs="宋体" w:hint="eastAsia"/>
          <w:color w:val="auto"/>
          <w:sz w:val="21"/>
          <w:szCs w:val="21"/>
        </w:rPr>
      </w:pPr>
      <w:r>
        <w:rPr>
          <w:rFonts w:ascii="宋体" w:eastAsia="宋体" w:hAnsi="宋体" w:cs="宋体" w:hint="eastAsia"/>
          <w:color w:val="auto"/>
          <w:sz w:val="21"/>
          <w:szCs w:val="21"/>
        </w:rPr>
        <w:t>（三）项目负责人或者主要技术人员不是本单位人员的。</w:t>
      </w:r>
    </w:p>
    <w:p>
      <w:pPr>
        <w:spacing w:beforeLines="0" w:line="380" w:lineRule="exact"/>
        <w:ind w:firstLine="420" w:firstLineChars="200"/>
        <w:rPr>
          <w:rFonts w:ascii="宋体" w:eastAsia="宋体" w:hAnsi="宋体" w:cs="宋体" w:hint="eastAsia"/>
          <w:color w:val="auto"/>
          <w:sz w:val="21"/>
          <w:szCs w:val="21"/>
        </w:rPr>
      </w:pPr>
      <w:r>
        <w:rPr>
          <w:rFonts w:ascii="宋体" w:eastAsia="宋体" w:hAnsi="宋体" w:cs="宋体" w:hint="eastAsia"/>
          <w:color w:val="auto"/>
          <w:sz w:val="21"/>
          <w:szCs w:val="21"/>
        </w:rPr>
        <w:t>（四）投标保证金不是从投标供应商基本账户转出的。</w:t>
      </w:r>
    </w:p>
    <w:p>
      <w:pPr>
        <w:spacing w:beforeLines="0" w:line="380" w:lineRule="exact"/>
        <w:ind w:firstLine="420" w:firstLineChars="200"/>
        <w:rPr>
          <w:rFonts w:ascii="宋体" w:eastAsia="宋体" w:hAnsi="宋体" w:cs="宋体" w:hint="eastAsia"/>
          <w:color w:val="auto"/>
          <w:sz w:val="21"/>
          <w:szCs w:val="21"/>
        </w:rPr>
      </w:pPr>
      <w:r>
        <w:rPr>
          <w:rFonts w:ascii="宋体" w:eastAsia="宋体" w:hAnsi="宋体" w:cs="宋体" w:hint="eastAsia"/>
          <w:color w:val="auto"/>
          <w:sz w:val="21"/>
          <w:szCs w:val="21"/>
        </w:rPr>
        <w:t>（五）其他隐瞒真实情况、提供虚假资料的行为。</w:t>
      </w:r>
    </w:p>
    <w:p>
      <w:pPr>
        <w:spacing w:beforeLines="0" w:line="380" w:lineRule="exact"/>
        <w:ind w:firstLine="420" w:firstLineChars="200"/>
        <w:rPr>
          <w:rFonts w:ascii="宋体" w:eastAsia="宋体" w:hAnsi="宋体" w:cs="宋体" w:hint="eastAsia"/>
          <w:b/>
          <w:color w:val="auto"/>
          <w:sz w:val="21"/>
          <w:szCs w:val="21"/>
        </w:rPr>
      </w:pPr>
      <w:r>
        <w:rPr>
          <w:rFonts w:ascii="宋体" w:eastAsia="宋体" w:hAnsi="宋体" w:cs="宋体" w:hint="eastAsia"/>
          <w:b/>
          <w:color w:val="auto"/>
          <w:sz w:val="21"/>
          <w:szCs w:val="21"/>
        </w:rPr>
        <w:t>二、</w:t>
      </w:r>
      <w:r>
        <w:rPr>
          <w:rFonts w:ascii="宋体" w:eastAsia="宋体" w:hAnsi="宋体" w:cs="宋体" w:hint="eastAsia"/>
          <w:b/>
          <w:color w:val="auto"/>
          <w:sz w:val="21"/>
          <w:szCs w:val="21"/>
          <w:lang w:eastAsia="zh-CN"/>
        </w:rPr>
        <w:t>我</w:t>
      </w:r>
      <w:r>
        <w:rPr>
          <w:rFonts w:ascii="宋体" w:eastAsia="宋体" w:hAnsi="宋体" w:cs="宋体" w:hint="eastAsia"/>
          <w:b/>
          <w:color w:val="auto"/>
          <w:sz w:val="21"/>
          <w:szCs w:val="21"/>
          <w:lang w:val="en-US" w:eastAsia="zh-CN"/>
        </w:rPr>
        <w:t>单位</w:t>
      </w:r>
      <w:r>
        <w:rPr>
          <w:rFonts w:ascii="宋体" w:eastAsia="宋体" w:hAnsi="宋体" w:cs="宋体" w:hint="eastAsia"/>
          <w:b/>
          <w:color w:val="auto"/>
          <w:sz w:val="21"/>
          <w:szCs w:val="21"/>
        </w:rPr>
        <w:t>已充分知悉“与其他采购参加人串通投标”的法定情形，包括但不限于：</w:t>
      </w:r>
    </w:p>
    <w:p>
      <w:pPr>
        <w:spacing w:beforeLines="0" w:line="380" w:lineRule="exact"/>
        <w:ind w:firstLine="420" w:firstLineChars="200"/>
        <w:rPr>
          <w:rFonts w:ascii="宋体" w:eastAsia="宋体" w:hAnsi="宋体" w:cs="宋体" w:hint="eastAsia"/>
          <w:color w:val="auto"/>
          <w:sz w:val="21"/>
          <w:szCs w:val="21"/>
        </w:rPr>
      </w:pPr>
      <w:r>
        <w:rPr>
          <w:rFonts w:ascii="宋体" w:eastAsia="宋体" w:hAnsi="宋体" w:cs="宋体" w:hint="eastAsia"/>
          <w:color w:val="auto"/>
          <w:sz w:val="21"/>
          <w:szCs w:val="21"/>
        </w:rPr>
        <w:t>（一）投标供应商之间相互约定给予未中标的供应商利益补偿。</w:t>
      </w:r>
    </w:p>
    <w:p>
      <w:pPr>
        <w:spacing w:beforeLines="0" w:line="380" w:lineRule="exact"/>
        <w:ind w:firstLine="420" w:firstLineChars="200"/>
        <w:rPr>
          <w:rFonts w:ascii="宋体" w:eastAsia="宋体" w:hAnsi="宋体" w:cs="宋体" w:hint="eastAsia"/>
          <w:color w:val="auto"/>
          <w:sz w:val="21"/>
          <w:szCs w:val="21"/>
        </w:rPr>
      </w:pPr>
      <w:r>
        <w:rPr>
          <w:rFonts w:ascii="宋体" w:eastAsia="宋体" w:hAnsi="宋体" w:cs="宋体" w:hint="eastAsia"/>
          <w:color w:val="auto"/>
          <w:sz w:val="21"/>
          <w:szCs w:val="21"/>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rFonts w:ascii="宋体" w:eastAsia="宋体" w:hAnsi="宋体" w:cs="宋体" w:hint="eastAsia"/>
          <w:color w:val="auto"/>
          <w:sz w:val="21"/>
          <w:szCs w:val="21"/>
        </w:rPr>
      </w:pPr>
      <w:r>
        <w:rPr>
          <w:rFonts w:ascii="宋体" w:eastAsia="宋体" w:hAnsi="宋体" w:cs="宋体" w:hint="eastAsia"/>
          <w:color w:val="auto"/>
          <w:sz w:val="21"/>
          <w:szCs w:val="21"/>
        </w:rPr>
        <w:t>（三）不同投标供应商的投标文件由同一单位或者同一人编制，或者由同一人分阶段参与编制的。</w:t>
      </w:r>
    </w:p>
    <w:p>
      <w:pPr>
        <w:spacing w:beforeLines="0" w:line="340" w:lineRule="exact"/>
        <w:ind w:firstLine="420" w:firstLineChars="200"/>
        <w:rPr>
          <w:rFonts w:ascii="宋体" w:eastAsia="宋体" w:hAnsi="宋体" w:cs="宋体" w:hint="eastAsia"/>
          <w:color w:val="auto"/>
          <w:sz w:val="21"/>
          <w:szCs w:val="21"/>
        </w:rPr>
      </w:pPr>
      <w:r>
        <w:rPr>
          <w:rFonts w:ascii="宋体" w:eastAsia="宋体" w:hAnsi="宋体" w:cs="宋体" w:hint="eastAsia"/>
          <w:color w:val="auto"/>
          <w:sz w:val="21"/>
          <w:szCs w:val="21"/>
        </w:rPr>
        <w:t>（四）不同投标供应商的投标文件或部分投标文件相互混装。</w:t>
      </w:r>
    </w:p>
    <w:p>
      <w:pPr>
        <w:spacing w:beforeLines="0" w:line="340" w:lineRule="exact"/>
        <w:ind w:firstLine="420" w:firstLineChars="200"/>
        <w:rPr>
          <w:rFonts w:ascii="宋体" w:eastAsia="宋体" w:hAnsi="宋体" w:cs="宋体" w:hint="eastAsia"/>
          <w:color w:val="auto"/>
          <w:sz w:val="21"/>
          <w:szCs w:val="21"/>
        </w:rPr>
      </w:pPr>
      <w:r>
        <w:rPr>
          <w:rFonts w:ascii="宋体" w:eastAsia="宋体" w:hAnsi="宋体" w:cs="宋体" w:hint="eastAsia"/>
          <w:color w:val="auto"/>
          <w:sz w:val="21"/>
          <w:szCs w:val="21"/>
        </w:rPr>
        <w:t>（五）不同投标供应商的投标文件内容存在非正常一致。</w:t>
      </w:r>
    </w:p>
    <w:p>
      <w:pPr>
        <w:spacing w:beforeLines="0" w:line="340" w:lineRule="exact"/>
        <w:ind w:firstLine="420" w:firstLineChars="200"/>
        <w:rPr>
          <w:rFonts w:ascii="宋体" w:eastAsia="宋体" w:hAnsi="宋体" w:cs="宋体" w:hint="eastAsia"/>
          <w:color w:val="auto"/>
          <w:sz w:val="21"/>
          <w:szCs w:val="21"/>
        </w:rPr>
      </w:pPr>
      <w:r>
        <w:rPr>
          <w:rFonts w:ascii="宋体" w:eastAsia="宋体" w:hAnsi="宋体" w:cs="宋体" w:hint="eastAsia"/>
          <w:color w:val="auto"/>
          <w:sz w:val="21"/>
          <w:szCs w:val="21"/>
        </w:rPr>
        <w:t>（六）由同一单位工作人员为两家以上（含两家）供应商进行同一项投标活动的。</w:t>
      </w:r>
    </w:p>
    <w:p>
      <w:pPr>
        <w:spacing w:beforeLines="0" w:line="340" w:lineRule="exact"/>
        <w:ind w:firstLine="420" w:firstLineChars="200"/>
        <w:rPr>
          <w:rFonts w:ascii="宋体" w:eastAsia="宋体" w:hAnsi="宋体" w:cs="宋体" w:hint="eastAsia"/>
          <w:color w:val="auto"/>
          <w:sz w:val="21"/>
          <w:szCs w:val="21"/>
        </w:rPr>
      </w:pPr>
      <w:r>
        <w:rPr>
          <w:rFonts w:ascii="宋体" w:eastAsia="宋体" w:hAnsi="宋体" w:cs="宋体" w:hint="eastAsia"/>
          <w:color w:val="auto"/>
          <w:sz w:val="21"/>
          <w:szCs w:val="21"/>
        </w:rPr>
        <w:t>（七）不同投标人的投标报价呈规律性差异。</w:t>
      </w:r>
    </w:p>
    <w:p>
      <w:pPr>
        <w:spacing w:beforeLines="0" w:line="340" w:lineRule="exact"/>
        <w:ind w:firstLine="420" w:firstLineChars="200"/>
        <w:rPr>
          <w:rFonts w:ascii="宋体" w:eastAsia="宋体" w:hAnsi="宋体" w:cs="宋体" w:hint="eastAsia"/>
          <w:color w:val="auto"/>
          <w:sz w:val="21"/>
          <w:szCs w:val="21"/>
        </w:rPr>
      </w:pPr>
      <w:r>
        <w:rPr>
          <w:rFonts w:ascii="宋体" w:eastAsia="宋体" w:hAnsi="宋体" w:cs="宋体" w:hint="eastAsia"/>
          <w:color w:val="auto"/>
          <w:sz w:val="21"/>
          <w:szCs w:val="21"/>
        </w:rPr>
        <w:t>（八）不同投标人的投标保证金从同一单位或者个人的账户转出。</w:t>
      </w:r>
    </w:p>
    <w:p>
      <w:pPr>
        <w:spacing w:beforeLines="0" w:line="340" w:lineRule="exact"/>
        <w:ind w:firstLine="420" w:firstLineChars="200"/>
        <w:rPr>
          <w:rFonts w:ascii="宋体" w:eastAsia="宋体" w:hAnsi="宋体" w:cs="宋体" w:hint="eastAsia"/>
          <w:color w:val="auto"/>
          <w:sz w:val="21"/>
          <w:szCs w:val="21"/>
        </w:rPr>
      </w:pPr>
      <w:r>
        <w:rPr>
          <w:rFonts w:ascii="宋体" w:eastAsia="宋体" w:hAnsi="宋体" w:cs="宋体" w:hint="eastAsia"/>
          <w:color w:val="auto"/>
          <w:sz w:val="21"/>
          <w:szCs w:val="21"/>
        </w:rPr>
        <w:t>（九）主管部门依照法律、法规认定的其他情形。</w:t>
      </w:r>
    </w:p>
    <w:p>
      <w:pPr>
        <w:spacing w:beforeLines="0" w:line="340" w:lineRule="exact"/>
        <w:ind w:firstLine="420" w:firstLineChars="200"/>
        <w:rPr>
          <w:rFonts w:ascii="宋体" w:eastAsia="宋体" w:hAnsi="宋体" w:cs="宋体" w:hint="eastAsia"/>
          <w:b/>
          <w:color w:val="auto"/>
          <w:sz w:val="21"/>
          <w:szCs w:val="21"/>
        </w:rPr>
      </w:pPr>
      <w:r>
        <w:rPr>
          <w:rFonts w:ascii="宋体" w:eastAsia="宋体" w:hAnsi="宋体" w:cs="宋体" w:hint="eastAsia"/>
          <w:b/>
          <w:color w:val="auto"/>
          <w:sz w:val="21"/>
          <w:szCs w:val="21"/>
        </w:rPr>
        <w:t>三、</w:t>
      </w:r>
      <w:r>
        <w:rPr>
          <w:rFonts w:ascii="宋体" w:eastAsia="宋体" w:hAnsi="宋体" w:cs="宋体" w:hint="eastAsia"/>
          <w:b/>
          <w:color w:val="auto"/>
          <w:sz w:val="21"/>
          <w:szCs w:val="21"/>
          <w:lang w:eastAsia="zh-CN"/>
        </w:rPr>
        <w:t>我</w:t>
      </w:r>
      <w:r>
        <w:rPr>
          <w:rFonts w:ascii="宋体" w:eastAsia="宋体" w:hAnsi="宋体" w:cs="宋体" w:hint="eastAsia"/>
          <w:b/>
          <w:color w:val="auto"/>
          <w:sz w:val="21"/>
          <w:szCs w:val="21"/>
          <w:lang w:val="en-US" w:eastAsia="zh-CN"/>
        </w:rPr>
        <w:t>单位</w:t>
      </w:r>
      <w:r>
        <w:rPr>
          <w:rFonts w:ascii="宋体" w:eastAsia="宋体" w:hAnsi="宋体" w:cs="宋体" w:hint="eastAsia"/>
          <w:b/>
          <w:color w:val="auto"/>
          <w:sz w:val="21"/>
          <w:szCs w:val="21"/>
        </w:rPr>
        <w:t>已充分知悉下列情形</w:t>
      </w:r>
      <w:r>
        <w:rPr>
          <w:rFonts w:ascii="宋体" w:eastAsia="宋体" w:hAnsi="宋体" w:cs="宋体" w:hint="eastAsia"/>
          <w:b/>
          <w:color w:val="auto"/>
          <w:sz w:val="21"/>
          <w:szCs w:val="21"/>
          <w:lang w:eastAsia="zh-CN"/>
        </w:rPr>
        <w:t>存在</w:t>
      </w:r>
      <w:r>
        <w:rPr>
          <w:rFonts w:ascii="宋体" w:eastAsia="宋体" w:hAnsi="宋体" w:cs="宋体" w:hint="eastAsia"/>
          <w:b/>
          <w:color w:val="auto"/>
          <w:sz w:val="21"/>
          <w:szCs w:val="21"/>
        </w:rPr>
        <w:t>法律风险，在投标前已对相关风险事项进行排</w:t>
      </w:r>
      <w:r>
        <w:rPr>
          <w:rFonts w:ascii="宋体" w:eastAsia="宋体" w:hAnsi="宋体" w:cs="宋体" w:hint="eastAsia"/>
          <w:b/>
          <w:color w:val="auto"/>
          <w:sz w:val="21"/>
          <w:szCs w:val="21"/>
          <w:highlight w:val="none"/>
        </w:rPr>
        <w:t>查。</w:t>
      </w:r>
    </w:p>
    <w:p>
      <w:pPr>
        <w:spacing w:beforeLines="0" w:line="340" w:lineRule="exact"/>
        <w:ind w:firstLine="420" w:firstLineChars="200"/>
        <w:rPr>
          <w:rFonts w:ascii="宋体" w:eastAsia="宋体" w:hAnsi="宋体" w:cs="宋体" w:hint="eastAsia"/>
          <w:b/>
          <w:color w:val="auto"/>
          <w:sz w:val="21"/>
          <w:szCs w:val="21"/>
        </w:rPr>
      </w:pPr>
      <w:r>
        <w:rPr>
          <w:rFonts w:ascii="宋体" w:eastAsia="宋体" w:hAnsi="宋体" w:cs="宋体" w:hint="eastAsia"/>
          <w:color w:val="auto"/>
          <w:sz w:val="21"/>
          <w:szCs w:val="21"/>
        </w:rPr>
        <w:t>（一）对于从其他主体获取的投标资料，</w:t>
      </w:r>
      <w:r>
        <w:rPr>
          <w:rFonts w:ascii="宋体" w:eastAsia="宋体" w:hAnsi="宋体" w:cs="宋体" w:hint="eastAsia"/>
          <w:color w:val="auto"/>
          <w:sz w:val="21"/>
          <w:szCs w:val="21"/>
          <w:lang w:eastAsia="zh-CN"/>
        </w:rPr>
        <w:t>我</w:t>
      </w:r>
      <w:r>
        <w:rPr>
          <w:rFonts w:ascii="宋体" w:eastAsia="宋体" w:hAnsi="宋体" w:cs="宋体" w:hint="eastAsia"/>
          <w:color w:val="auto"/>
          <w:sz w:val="21"/>
          <w:szCs w:val="21"/>
          <w:lang w:val="en-US" w:eastAsia="zh-CN"/>
        </w:rPr>
        <w:t>单位</w:t>
      </w:r>
      <w:r>
        <w:rPr>
          <w:rFonts w:ascii="宋体" w:eastAsia="宋体" w:hAnsi="宋体" w:cs="宋体" w:hint="eastAsia"/>
          <w:color w:val="auto"/>
          <w:sz w:val="21"/>
          <w:szCs w:val="21"/>
        </w:rPr>
        <w:t>应审慎核查，确保</w:t>
      </w:r>
      <w:r>
        <w:rPr>
          <w:rFonts w:ascii="宋体" w:eastAsia="宋体" w:hAnsi="宋体" w:cs="宋体" w:hint="eastAsia"/>
          <w:color w:val="auto"/>
          <w:sz w:val="21"/>
          <w:szCs w:val="21"/>
          <w:lang w:eastAsia="zh-CN"/>
        </w:rPr>
        <w:t>其</w:t>
      </w:r>
      <w:r>
        <w:rPr>
          <w:rFonts w:ascii="宋体" w:eastAsia="宋体" w:hAnsi="宋体" w:cs="宋体" w:hint="eastAsia"/>
          <w:color w:val="auto"/>
          <w:sz w:val="21"/>
          <w:szCs w:val="21"/>
        </w:rPr>
        <w:t>真实性。</w:t>
      </w:r>
      <w:r>
        <w:rPr>
          <w:rFonts w:ascii="宋体" w:eastAsia="宋体" w:hAnsi="宋体" w:cs="宋体" w:hint="eastAsia"/>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rFonts w:ascii="宋体" w:eastAsia="宋体" w:hAnsi="宋体" w:cs="宋体" w:hint="eastAsia"/>
          <w:color w:val="auto"/>
          <w:sz w:val="21"/>
          <w:szCs w:val="21"/>
        </w:rPr>
      </w:pPr>
      <w:r>
        <w:rPr>
          <w:rFonts w:ascii="宋体" w:eastAsia="宋体" w:hAnsi="宋体" w:cs="宋体" w:hint="eastAsia"/>
          <w:color w:val="auto"/>
          <w:sz w:val="21"/>
          <w:szCs w:val="21"/>
        </w:rPr>
        <w:t>（二）对于涉及国家机关出具的公文、证件、证明材料等文件，一旦涉嫌虚假，经查实，主管部门将依法从严处理，并移送有关部门追究法律责任；涉嫌犯罪的，移送司法机关</w:t>
      </w:r>
      <w:r>
        <w:rPr>
          <w:rFonts w:ascii="宋体" w:eastAsia="宋体" w:hAnsi="宋体" w:cs="宋体" w:hint="eastAsia"/>
          <w:color w:val="auto"/>
          <w:sz w:val="21"/>
          <w:szCs w:val="21"/>
          <w:lang w:eastAsia="zh-CN"/>
        </w:rPr>
        <w:t>处理</w:t>
      </w:r>
      <w:r>
        <w:rPr>
          <w:rFonts w:ascii="宋体" w:eastAsia="宋体" w:hAnsi="宋体" w:cs="宋体" w:hint="eastAsia"/>
          <w:color w:val="auto"/>
          <w:sz w:val="21"/>
          <w:szCs w:val="21"/>
        </w:rPr>
        <w:t>。</w:t>
      </w:r>
    </w:p>
    <w:p>
      <w:pPr>
        <w:spacing w:beforeLines="0" w:line="340" w:lineRule="exact"/>
        <w:ind w:firstLine="420" w:firstLineChars="200"/>
        <w:rPr>
          <w:rFonts w:ascii="宋体" w:eastAsia="宋体" w:hAnsi="宋体" w:cs="宋体" w:hint="eastAsia"/>
          <w:color w:val="auto"/>
          <w:sz w:val="21"/>
          <w:szCs w:val="21"/>
        </w:rPr>
      </w:pPr>
      <w:r>
        <w:rPr>
          <w:rFonts w:ascii="宋体" w:eastAsia="宋体" w:hAnsi="宋体" w:cs="宋体" w:hint="eastAsia"/>
          <w:color w:val="auto"/>
          <w:sz w:val="21"/>
          <w:szCs w:val="21"/>
        </w:rPr>
        <w:t>（</w:t>
      </w:r>
      <w:r>
        <w:rPr>
          <w:rFonts w:ascii="宋体" w:eastAsia="宋体" w:hAnsi="宋体" w:cs="宋体" w:hint="eastAsia"/>
          <w:color w:val="auto"/>
          <w:sz w:val="21"/>
          <w:szCs w:val="21"/>
          <w:lang w:eastAsia="zh-CN"/>
        </w:rPr>
        <w:t>三</w:t>
      </w:r>
      <w:r>
        <w:rPr>
          <w:rFonts w:ascii="宋体" w:eastAsia="宋体" w:hAnsi="宋体" w:cs="宋体" w:hint="eastAsia"/>
          <w:color w:val="auto"/>
          <w:sz w:val="21"/>
          <w:szCs w:val="21"/>
        </w:rPr>
        <w:t>）</w:t>
      </w:r>
      <w:r>
        <w:rPr>
          <w:rFonts w:ascii="宋体" w:eastAsia="宋体" w:hAnsi="宋体" w:cs="宋体" w:hint="eastAsia"/>
          <w:color w:val="auto"/>
          <w:sz w:val="21"/>
          <w:szCs w:val="21"/>
          <w:lang w:eastAsia="zh-CN"/>
        </w:rPr>
        <w:t>我</w:t>
      </w:r>
      <w:r>
        <w:rPr>
          <w:rFonts w:ascii="宋体" w:eastAsia="宋体" w:hAnsi="宋体" w:cs="宋体" w:hint="eastAsia"/>
          <w:color w:val="auto"/>
          <w:sz w:val="21"/>
          <w:szCs w:val="21"/>
          <w:lang w:val="en-US" w:eastAsia="zh-CN"/>
        </w:rPr>
        <w:t>单位</w:t>
      </w:r>
      <w:r>
        <w:rPr>
          <w:rFonts w:ascii="宋体" w:eastAsia="宋体" w:hAnsi="宋体" w:cs="宋体" w:hint="eastAsia"/>
          <w:color w:val="auto"/>
          <w:sz w:val="21"/>
          <w:szCs w:val="21"/>
        </w:rPr>
        <w:t>对投标电子密钥</w:t>
      </w:r>
      <w:r>
        <w:rPr>
          <w:rFonts w:ascii="宋体" w:eastAsia="宋体" w:hAnsi="宋体" w:cs="宋体" w:hint="eastAsia"/>
          <w:color w:val="auto"/>
          <w:sz w:val="21"/>
          <w:szCs w:val="21"/>
          <w:lang w:eastAsia="zh-CN"/>
        </w:rPr>
        <w:t>或</w:t>
      </w:r>
      <w:r>
        <w:rPr>
          <w:rFonts w:ascii="宋体" w:eastAsia="宋体" w:hAnsi="宋体" w:cs="宋体" w:hint="eastAsia"/>
          <w:color w:val="auto"/>
          <w:sz w:val="21"/>
          <w:szCs w:val="21"/>
          <w:lang w:val="en-US" w:eastAsia="zh-CN"/>
        </w:rPr>
        <w:t>电子营业执照</w:t>
      </w:r>
      <w:r>
        <w:rPr>
          <w:rFonts w:ascii="宋体" w:eastAsia="宋体" w:hAnsi="宋体" w:cs="宋体" w:hint="eastAsia"/>
          <w:color w:val="auto"/>
          <w:sz w:val="21"/>
          <w:szCs w:val="21"/>
        </w:rPr>
        <w:t>负有妥善保管、及时变更和续期等主体责任</w:t>
      </w:r>
      <w:r>
        <w:rPr>
          <w:rFonts w:ascii="宋体" w:eastAsia="宋体" w:hAnsi="宋体" w:cs="宋体" w:hint="eastAsia"/>
          <w:color w:val="auto"/>
          <w:sz w:val="21"/>
          <w:szCs w:val="21"/>
          <w:lang w:eastAsia="zh-CN"/>
        </w:rPr>
        <w:t>；</w:t>
      </w:r>
      <w:r>
        <w:rPr>
          <w:rFonts w:ascii="宋体" w:eastAsia="宋体" w:hAnsi="宋体" w:cs="宋体" w:hint="eastAsia"/>
          <w:color w:val="auto"/>
          <w:sz w:val="21"/>
          <w:szCs w:val="21"/>
        </w:rPr>
        <w:t>使用电子密钥</w:t>
      </w:r>
      <w:r>
        <w:rPr>
          <w:rFonts w:ascii="宋体" w:eastAsia="宋体" w:hAnsi="宋体" w:cs="宋体" w:hint="eastAsia"/>
          <w:color w:val="auto"/>
          <w:sz w:val="21"/>
          <w:szCs w:val="21"/>
          <w:lang w:eastAsia="zh-CN"/>
        </w:rPr>
        <w:t>或</w:t>
      </w:r>
      <w:r>
        <w:rPr>
          <w:rFonts w:ascii="宋体" w:eastAsia="宋体" w:hAnsi="宋体" w:cs="宋体" w:hint="eastAsia"/>
          <w:color w:val="auto"/>
          <w:sz w:val="21"/>
          <w:szCs w:val="21"/>
          <w:lang w:val="en-US" w:eastAsia="zh-CN"/>
        </w:rPr>
        <w:t>电子营业执照</w:t>
      </w:r>
      <w:r>
        <w:rPr>
          <w:rFonts w:ascii="宋体" w:eastAsia="宋体" w:hAnsi="宋体" w:cs="宋体" w:hint="eastAsia"/>
          <w:color w:val="auto"/>
          <w:sz w:val="21"/>
          <w:szCs w:val="21"/>
        </w:rPr>
        <w:t>在深圳政府采购网站进行的活动，均具有法律效力，须承担相应的法律后果。</w:t>
      </w:r>
      <w:r>
        <w:rPr>
          <w:rFonts w:ascii="宋体" w:eastAsia="宋体" w:hAnsi="宋体" w:cs="宋体" w:hint="eastAsia"/>
          <w:color w:val="auto"/>
          <w:sz w:val="21"/>
          <w:szCs w:val="21"/>
          <w:lang w:eastAsia="zh-CN"/>
        </w:rPr>
        <w:t>若</w:t>
      </w:r>
      <w:r>
        <w:rPr>
          <w:rFonts w:ascii="宋体" w:eastAsia="宋体" w:hAnsi="宋体" w:cs="宋体" w:hint="eastAsia"/>
          <w:b/>
          <w:bCs/>
          <w:color w:val="auto"/>
          <w:sz w:val="21"/>
          <w:szCs w:val="21"/>
        </w:rPr>
        <w:t>擅自将投标密钥</w:t>
      </w:r>
      <w:r>
        <w:rPr>
          <w:rFonts w:ascii="宋体" w:eastAsia="宋体" w:hAnsi="宋体" w:cs="宋体" w:hint="eastAsia"/>
          <w:b/>
          <w:bCs/>
          <w:color w:val="auto"/>
          <w:sz w:val="21"/>
          <w:szCs w:val="21"/>
          <w:lang w:eastAsia="zh-CN"/>
        </w:rPr>
        <w:t>或</w:t>
      </w:r>
      <w:r>
        <w:rPr>
          <w:rFonts w:ascii="宋体" w:eastAsia="宋体" w:hAnsi="宋体" w:cs="宋体" w:hint="eastAsia"/>
          <w:b/>
          <w:bCs/>
          <w:color w:val="auto"/>
          <w:sz w:val="21"/>
          <w:szCs w:val="21"/>
          <w:lang w:val="en-US" w:eastAsia="zh-CN"/>
        </w:rPr>
        <w:t>电子营业执照</w:t>
      </w:r>
      <w:r>
        <w:rPr>
          <w:rFonts w:ascii="宋体" w:eastAsia="宋体" w:hAnsi="宋体" w:cs="宋体" w:hint="eastAsia"/>
          <w:b/>
          <w:bCs/>
          <w:color w:val="auto"/>
          <w:sz w:val="21"/>
          <w:szCs w:val="21"/>
        </w:rPr>
        <w:t>出借他人使用所造成的法律后果，由</w:t>
      </w:r>
      <w:r>
        <w:rPr>
          <w:rFonts w:ascii="宋体" w:eastAsia="宋体" w:hAnsi="宋体" w:cs="宋体" w:hint="eastAsia"/>
          <w:b/>
          <w:bCs/>
          <w:color w:val="auto"/>
          <w:sz w:val="21"/>
          <w:szCs w:val="21"/>
          <w:lang w:eastAsia="zh-CN"/>
        </w:rPr>
        <w:t>我</w:t>
      </w:r>
      <w:r>
        <w:rPr>
          <w:rFonts w:ascii="宋体" w:eastAsia="宋体" w:hAnsi="宋体" w:cs="宋体" w:hint="eastAsia"/>
          <w:b/>
          <w:bCs/>
          <w:color w:val="auto"/>
          <w:sz w:val="21"/>
          <w:szCs w:val="21"/>
          <w:lang w:val="en-US" w:eastAsia="zh-CN"/>
        </w:rPr>
        <w:t>单位</w:t>
      </w:r>
      <w:r>
        <w:rPr>
          <w:rFonts w:ascii="宋体" w:eastAsia="宋体" w:hAnsi="宋体" w:cs="宋体" w:hint="eastAsia"/>
          <w:b/>
          <w:bCs/>
          <w:color w:val="auto"/>
          <w:sz w:val="21"/>
          <w:szCs w:val="21"/>
        </w:rPr>
        <w:t>自行承担</w:t>
      </w:r>
      <w:r>
        <w:rPr>
          <w:rFonts w:ascii="宋体" w:eastAsia="宋体" w:hAnsi="宋体" w:cs="宋体" w:hint="eastAsia"/>
          <w:color w:val="auto"/>
          <w:sz w:val="21"/>
          <w:szCs w:val="21"/>
        </w:rPr>
        <w:t>。</w:t>
      </w:r>
    </w:p>
    <w:p>
      <w:pPr>
        <w:spacing w:beforeLines="0" w:line="340" w:lineRule="exact"/>
        <w:ind w:firstLine="420" w:firstLineChars="200"/>
        <w:rPr>
          <w:rFonts w:ascii="宋体" w:eastAsia="宋体" w:hAnsi="宋体" w:cs="宋体" w:hint="eastAsia"/>
          <w:b/>
          <w:color w:val="auto"/>
          <w:sz w:val="21"/>
          <w:szCs w:val="21"/>
        </w:rPr>
      </w:pPr>
      <w:r>
        <w:rPr>
          <w:rFonts w:ascii="宋体" w:eastAsia="宋体" w:hAnsi="宋体" w:cs="宋体" w:hint="eastAsia"/>
          <w:b/>
          <w:color w:val="auto"/>
          <w:sz w:val="21"/>
          <w:szCs w:val="21"/>
        </w:rPr>
        <w:t>四、</w:t>
      </w:r>
      <w:r>
        <w:rPr>
          <w:rFonts w:ascii="宋体" w:eastAsia="宋体" w:hAnsi="宋体" w:cs="宋体" w:hint="eastAsia"/>
          <w:b/>
          <w:color w:val="auto"/>
          <w:sz w:val="21"/>
          <w:szCs w:val="21"/>
          <w:lang w:eastAsia="zh-CN"/>
        </w:rPr>
        <w:t>我</w:t>
      </w:r>
      <w:r>
        <w:rPr>
          <w:rFonts w:ascii="宋体" w:eastAsia="宋体" w:hAnsi="宋体" w:cs="宋体" w:hint="eastAsia"/>
          <w:b/>
          <w:color w:val="auto"/>
          <w:sz w:val="21"/>
          <w:szCs w:val="21"/>
          <w:lang w:val="en-US" w:eastAsia="zh-CN"/>
        </w:rPr>
        <w:t>单位</w:t>
      </w:r>
      <w:r>
        <w:rPr>
          <w:rFonts w:ascii="宋体" w:eastAsia="宋体" w:hAnsi="宋体" w:cs="宋体" w:hint="eastAsia"/>
          <w:b/>
          <w:color w:val="auto"/>
          <w:sz w:val="21"/>
          <w:szCs w:val="21"/>
        </w:rPr>
        <w:t>已充分知悉政府采购违法、违规行为的法律</w:t>
      </w:r>
      <w:r>
        <w:rPr>
          <w:rFonts w:ascii="宋体" w:eastAsia="宋体" w:hAnsi="宋体" w:cs="宋体" w:hint="eastAsia"/>
          <w:b/>
          <w:color w:val="auto"/>
          <w:sz w:val="21"/>
          <w:szCs w:val="21"/>
          <w:highlight w:val="none"/>
        </w:rPr>
        <w:t>后果。</w:t>
      </w:r>
    </w:p>
    <w:p>
      <w:pPr>
        <w:spacing w:beforeLines="0" w:line="340" w:lineRule="exact"/>
        <w:ind w:firstLine="420" w:firstLineChars="200"/>
        <w:rPr>
          <w:rFonts w:ascii="宋体" w:eastAsia="宋体" w:hAnsi="宋体" w:cs="宋体" w:hint="eastAsia"/>
          <w:color w:val="auto"/>
          <w:sz w:val="21"/>
          <w:szCs w:val="21"/>
          <w:highlight w:val="none"/>
        </w:rPr>
      </w:pPr>
      <w:r>
        <w:rPr>
          <w:rFonts w:ascii="宋体" w:eastAsia="宋体" w:hAnsi="宋体" w:cs="宋体" w:hint="eastAsia"/>
          <w:color w:val="auto"/>
          <w:sz w:val="21"/>
          <w:szCs w:val="21"/>
        </w:rPr>
        <w:t>经查实，若</w:t>
      </w:r>
      <w:r>
        <w:rPr>
          <w:rFonts w:ascii="宋体" w:eastAsia="宋体" w:hAnsi="宋体" w:cs="宋体" w:hint="eastAsia"/>
          <w:color w:val="auto"/>
          <w:sz w:val="21"/>
          <w:szCs w:val="21"/>
          <w:lang w:eastAsia="zh-CN"/>
        </w:rPr>
        <w:t>我</w:t>
      </w:r>
      <w:r>
        <w:rPr>
          <w:rFonts w:ascii="宋体" w:eastAsia="宋体" w:hAnsi="宋体" w:cs="宋体" w:hint="eastAsia"/>
          <w:color w:val="auto"/>
          <w:sz w:val="21"/>
          <w:szCs w:val="21"/>
          <w:lang w:val="en-US" w:eastAsia="zh-CN"/>
        </w:rPr>
        <w:t>单位</w:t>
      </w:r>
      <w:r>
        <w:rPr>
          <w:rFonts w:ascii="宋体" w:eastAsia="宋体" w:hAnsi="宋体" w:cs="宋体" w:hint="eastAsia"/>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ascii="宋体" w:eastAsia="宋体" w:hAnsi="宋体" w:cs="宋体" w:hint="eastAsia"/>
          <w:color w:val="auto"/>
          <w:sz w:val="21"/>
          <w:szCs w:val="21"/>
          <w:highlight w:val="none"/>
        </w:rPr>
        <w:t>分之二十以上千分之三十以下罚款，由市场监管部门依法吊销营业执照。</w:t>
      </w:r>
    </w:p>
    <w:p>
      <w:pPr>
        <w:spacing w:beforeLines="0" w:line="340" w:lineRule="exact"/>
        <w:ind w:firstLine="420" w:firstLineChars="200"/>
        <w:rPr>
          <w:rFonts w:ascii="宋体" w:eastAsia="宋体" w:hAnsi="宋体" w:cs="宋体" w:hint="eastAsia"/>
          <w:color w:val="auto"/>
          <w:sz w:val="21"/>
          <w:szCs w:val="21"/>
          <w:highlight w:val="none"/>
        </w:rPr>
      </w:pPr>
      <w:r>
        <w:rPr>
          <w:rFonts w:ascii="宋体" w:eastAsia="宋体" w:hAnsi="宋体" w:cs="宋体" w:hint="eastAsia"/>
          <w:color w:val="auto"/>
          <w:sz w:val="21"/>
          <w:szCs w:val="21"/>
          <w:highlight w:val="none"/>
        </w:rPr>
        <w:t>以下文字请投标供应商抄写并确认：“</w:t>
      </w:r>
      <w:r>
        <w:rPr>
          <w:rFonts w:ascii="宋体" w:eastAsia="宋体" w:hAnsi="宋体" w:cs="宋体" w:hint="eastAsia"/>
          <w:color w:val="auto"/>
          <w:sz w:val="21"/>
          <w:szCs w:val="21"/>
          <w:highlight w:val="none"/>
          <w:lang w:eastAsia="zh-CN"/>
        </w:rPr>
        <w:t>我</w:t>
      </w:r>
      <w:r>
        <w:rPr>
          <w:rFonts w:ascii="宋体" w:eastAsia="宋体" w:hAnsi="宋体" w:cs="宋体" w:hint="eastAsia"/>
          <w:color w:val="auto"/>
          <w:sz w:val="21"/>
          <w:szCs w:val="21"/>
          <w:lang w:val="en-US" w:eastAsia="zh-CN"/>
        </w:rPr>
        <w:t>单位</w:t>
      </w:r>
      <w:r>
        <w:rPr>
          <w:rFonts w:ascii="宋体" w:eastAsia="宋体" w:hAnsi="宋体" w:cs="宋体" w:hint="eastAsia"/>
          <w:color w:val="auto"/>
          <w:sz w:val="21"/>
          <w:szCs w:val="21"/>
          <w:highlight w:val="none"/>
        </w:rPr>
        <w:t>已仔细阅读《政府采购违法行为风险知悉确认书》，充分知悉违法行为的法律后果，并承诺将严谨、诚信、依法依规参与政府采购活动”。</w:t>
      </w:r>
    </w:p>
    <w:tbl>
      <w:tblPr>
        <w:tblStyle w:val="TableNormal"/>
        <w:tblW w:w="0" w:type="auto"/>
        <w:tblInd w:w="0" w:type="dxa"/>
        <w:tblBorders>
          <w:top w:val="nil"/>
          <w:left w:val="nil"/>
          <w:bottom w:val="single" w:sz="4" w:space="0" w:color="auto"/>
          <w:right w:val="nil"/>
          <w:insideH w:val="nil"/>
          <w:insideV w:val="nil"/>
        </w:tblBorders>
        <w:tblLayout w:type="fixed"/>
        <w:tblCellMar>
          <w:top w:w="0" w:type="dxa"/>
          <w:left w:w="108" w:type="dxa"/>
          <w:bottom w:w="0" w:type="dxa"/>
          <w:right w:w="108" w:type="dxa"/>
        </w:tblCellMar>
      </w:tblPr>
      <w:tblGrid>
        <w:gridCol w:w="8529"/>
      </w:tblGrid>
      <w:tr>
        <w:tblPrEx>
          <w:tblW w:w="0" w:type="auto"/>
          <w:tblInd w:w="0" w:type="dxa"/>
          <w:tblBorders>
            <w:top w:val="nil"/>
            <w:left w:val="nil"/>
            <w:bottom w:val="single" w:sz="4" w:space="0" w:color="auto"/>
            <w:right w:val="nil"/>
            <w:insideH w:val="nil"/>
            <w:insideV w:val="nil"/>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noWrap w:val="0"/>
            <w:vAlign w:val="top"/>
          </w:tcPr>
          <w:p>
            <w:pPr>
              <w:autoSpaceDE w:val="0"/>
              <w:autoSpaceDN w:val="0"/>
              <w:spacing w:beforeLines="0" w:line="340" w:lineRule="exact"/>
              <w:ind w:firstLine="1866"/>
              <w:rPr>
                <w:rFonts w:ascii="宋体" w:eastAsia="宋体" w:hAnsi="宋体" w:cs="宋体" w:hint="eastAsia"/>
                <w:color w:val="auto"/>
                <w:spacing w:val="-4"/>
                <w:kern w:val="0"/>
                <w:sz w:val="21"/>
                <w:szCs w:val="21"/>
                <w:highlight w:val="none"/>
              </w:rPr>
            </w:pPr>
          </w:p>
        </w:tc>
      </w:tr>
      <w:tr>
        <w:tblPrEx>
          <w:tblW w:w="0" w:type="auto"/>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noWrap w:val="0"/>
            <w:vAlign w:val="top"/>
          </w:tcPr>
          <w:p>
            <w:pPr>
              <w:autoSpaceDE w:val="0"/>
              <w:autoSpaceDN w:val="0"/>
              <w:spacing w:beforeLines="0" w:line="340" w:lineRule="exact"/>
              <w:ind w:firstLine="1866"/>
              <w:rPr>
                <w:rFonts w:ascii="宋体" w:eastAsia="宋体" w:hAnsi="宋体" w:cs="宋体" w:hint="eastAsia"/>
                <w:color w:val="auto"/>
                <w:spacing w:val="-4"/>
                <w:kern w:val="0"/>
                <w:sz w:val="21"/>
                <w:szCs w:val="21"/>
              </w:rPr>
            </w:pPr>
          </w:p>
        </w:tc>
      </w:tr>
      <w:tr>
        <w:tblPrEx>
          <w:tblW w:w="0" w:type="auto"/>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noWrap w:val="0"/>
            <w:vAlign w:val="top"/>
          </w:tcPr>
          <w:p>
            <w:pPr>
              <w:autoSpaceDE w:val="0"/>
              <w:autoSpaceDN w:val="0"/>
              <w:spacing w:beforeLines="0" w:line="340" w:lineRule="exact"/>
              <w:ind w:firstLine="1866"/>
              <w:rPr>
                <w:rFonts w:ascii="宋体" w:eastAsia="宋体" w:hAnsi="宋体" w:cs="宋体" w:hint="eastAsia"/>
                <w:color w:val="auto"/>
                <w:spacing w:val="-4"/>
                <w:kern w:val="0"/>
                <w:sz w:val="21"/>
                <w:szCs w:val="21"/>
              </w:rPr>
            </w:pPr>
          </w:p>
        </w:tc>
      </w:tr>
      <w:tr>
        <w:tblPrEx>
          <w:tblW w:w="0" w:type="auto"/>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noWrap w:val="0"/>
            <w:vAlign w:val="top"/>
          </w:tcPr>
          <w:p>
            <w:pPr>
              <w:autoSpaceDE w:val="0"/>
              <w:autoSpaceDN w:val="0"/>
              <w:spacing w:beforeLines="0" w:line="340" w:lineRule="exact"/>
              <w:ind w:firstLine="1866"/>
              <w:rPr>
                <w:rFonts w:ascii="宋体" w:eastAsia="宋体" w:hAnsi="宋体" w:cs="宋体" w:hint="eastAsia"/>
                <w:color w:val="auto"/>
                <w:spacing w:val="-4"/>
                <w:kern w:val="0"/>
                <w:sz w:val="21"/>
                <w:szCs w:val="21"/>
              </w:rPr>
            </w:pPr>
          </w:p>
        </w:tc>
      </w:tr>
    </w:tbl>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 w:val="21"/>
          <w:szCs w:val="21"/>
        </w:rPr>
      </w:pPr>
    </w:p>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 w:val="21"/>
          <w:szCs w:val="21"/>
          <w:u w:val="single"/>
        </w:rPr>
      </w:pPr>
      <w:r>
        <w:rPr>
          <w:rFonts w:ascii="宋体" w:eastAsia="宋体" w:hAnsi="宋体" w:cs="宋体" w:hint="eastAsia"/>
          <w:color w:val="auto"/>
          <w:spacing w:val="-4"/>
          <w:kern w:val="0"/>
          <w:sz w:val="21"/>
          <w:szCs w:val="21"/>
          <w:lang w:eastAsia="zh-CN"/>
        </w:rPr>
        <w:t>单位</w:t>
      </w:r>
      <w:r>
        <w:rPr>
          <w:rFonts w:ascii="宋体" w:eastAsia="宋体" w:hAnsi="宋体" w:cs="宋体" w:hint="eastAsia"/>
          <w:color w:val="auto"/>
          <w:spacing w:val="-4"/>
          <w:kern w:val="0"/>
          <w:sz w:val="21"/>
          <w:szCs w:val="21"/>
        </w:rPr>
        <w:t>负责人签名：</w:t>
      </w:r>
      <w:r>
        <w:rPr>
          <w:rFonts w:ascii="宋体" w:eastAsia="宋体" w:hAnsi="宋体" w:cs="宋体" w:hint="eastAsia"/>
          <w:color w:val="auto"/>
          <w:spacing w:val="-4"/>
          <w:kern w:val="0"/>
          <w:sz w:val="21"/>
          <w:szCs w:val="21"/>
          <w:u w:val="single"/>
        </w:rPr>
        <w:t xml:space="preserve">              </w:t>
      </w:r>
    </w:p>
    <w:p>
      <w:pPr>
        <w:widowControl/>
        <w:wordWrap w:val="0"/>
        <w:autoSpaceDE w:val="0"/>
        <w:autoSpaceDN w:val="0"/>
        <w:spacing w:beforeLines="0" w:line="340" w:lineRule="exact"/>
        <w:ind w:right="808" w:firstLine="420" w:firstLineChars="200"/>
        <w:jc w:val="center"/>
        <w:rPr>
          <w:rFonts w:ascii="宋体" w:eastAsia="宋体" w:hAnsi="宋体" w:cs="宋体" w:hint="eastAsia"/>
          <w:color w:val="auto"/>
          <w:spacing w:val="-4"/>
          <w:kern w:val="0"/>
          <w:sz w:val="21"/>
          <w:szCs w:val="21"/>
          <w:u w:val="single"/>
        </w:rPr>
      </w:pPr>
      <w:r>
        <w:rPr>
          <w:rFonts w:ascii="宋体" w:eastAsia="宋体" w:hAnsi="宋体" w:cs="宋体" w:hint="eastAsia"/>
          <w:color w:val="auto"/>
          <w:spacing w:val="-4"/>
          <w:kern w:val="0"/>
          <w:sz w:val="21"/>
          <w:szCs w:val="21"/>
          <w:lang w:val="en-US" w:eastAsia="zh-CN"/>
        </w:rPr>
        <w:t xml:space="preserve">                                  </w:t>
      </w:r>
      <w:r>
        <w:rPr>
          <w:rFonts w:ascii="宋体" w:eastAsia="宋体" w:hAnsi="宋体" w:cs="宋体" w:hint="eastAsia"/>
          <w:color w:val="auto"/>
          <w:spacing w:val="-4"/>
          <w:kern w:val="0"/>
          <w:sz w:val="21"/>
          <w:szCs w:val="21"/>
          <w:lang w:eastAsia="zh-CN"/>
        </w:rPr>
        <w:t>（加盖单位</w:t>
      </w:r>
      <w:r>
        <w:rPr>
          <w:rFonts w:ascii="宋体" w:eastAsia="宋体" w:hAnsi="宋体" w:cs="宋体" w:hint="eastAsia"/>
          <w:color w:val="auto"/>
          <w:spacing w:val="-4"/>
          <w:kern w:val="0"/>
          <w:sz w:val="21"/>
          <w:szCs w:val="21"/>
        </w:rPr>
        <w:t>公章</w:t>
      </w:r>
      <w:r>
        <w:rPr>
          <w:rFonts w:ascii="宋体" w:eastAsia="宋体" w:hAnsi="宋体" w:cs="宋体" w:hint="eastAsia"/>
          <w:color w:val="auto"/>
          <w:spacing w:val="-4"/>
          <w:kern w:val="0"/>
          <w:sz w:val="21"/>
          <w:szCs w:val="21"/>
          <w:lang w:eastAsia="zh-CN"/>
        </w:rPr>
        <w:t>）</w:t>
      </w:r>
    </w:p>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 w:val="21"/>
          <w:szCs w:val="21"/>
          <w:u w:val="single"/>
        </w:rPr>
      </w:pPr>
      <w:r>
        <w:rPr>
          <w:rFonts w:ascii="宋体" w:eastAsia="宋体" w:hAnsi="宋体" w:cs="宋体" w:hint="eastAsia"/>
          <w:color w:val="auto"/>
          <w:spacing w:val="-4"/>
          <w:kern w:val="0"/>
          <w:sz w:val="21"/>
          <w:szCs w:val="21"/>
        </w:rPr>
        <w:t xml:space="preserve">     日期：</w:t>
      </w:r>
      <w:r>
        <w:rPr>
          <w:rFonts w:ascii="宋体" w:eastAsia="宋体" w:hAnsi="宋体" w:cs="宋体" w:hint="eastAsia"/>
          <w:color w:val="auto"/>
          <w:spacing w:val="-4"/>
          <w:kern w:val="0"/>
          <w:sz w:val="21"/>
          <w:szCs w:val="21"/>
          <w:u w:val="single"/>
        </w:rPr>
        <w:t xml:space="preserve">              </w:t>
      </w:r>
    </w:p>
    <w:p>
      <w:pPr>
        <w:widowControl/>
        <w:autoSpaceDE w:val="0"/>
        <w:autoSpaceDN w:val="0"/>
        <w:spacing w:beforeLines="0" w:line="340" w:lineRule="exact"/>
        <w:ind w:firstLine="420" w:firstLineChars="200"/>
        <w:jc w:val="left"/>
        <w:rPr>
          <w:rFonts w:ascii="宋体" w:eastAsia="宋体" w:hAnsi="宋体" w:cs="宋体" w:hint="eastAsia"/>
          <w:b/>
          <w:bCs/>
          <w:color w:val="auto"/>
          <w:spacing w:val="-4"/>
          <w:kern w:val="0"/>
          <w:sz w:val="21"/>
          <w:szCs w:val="21"/>
        </w:rPr>
      </w:pPr>
    </w:p>
    <w:p>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20" w:firstLineChars="200"/>
        <w:jc w:val="left"/>
        <w:textAlignment w:val="auto"/>
        <w:rPr>
          <w:rFonts w:ascii="宋体" w:eastAsia="宋体" w:hAnsi="宋体" w:cs="宋体" w:hint="eastAsia"/>
          <w:color w:val="auto"/>
          <w:kern w:val="0"/>
          <w:sz w:val="21"/>
          <w:szCs w:val="21"/>
          <w:lang w:val="en-US" w:eastAsia="zh-CN"/>
        </w:rPr>
      </w:pPr>
      <w:r>
        <w:rPr>
          <w:rFonts w:ascii="宋体" w:eastAsia="宋体" w:hAnsi="宋体" w:cs="宋体" w:hint="eastAsia"/>
          <w:b/>
          <w:bCs/>
          <w:color w:val="auto"/>
          <w:spacing w:val="-4"/>
          <w:kern w:val="0"/>
          <w:sz w:val="21"/>
          <w:szCs w:val="21"/>
        </w:rPr>
        <w:t>注：</w:t>
      </w:r>
      <w:r>
        <w:rPr>
          <w:rFonts w:ascii="宋体" w:eastAsia="宋体" w:hAnsi="宋体" w:cs="宋体" w:hint="eastAsia"/>
          <w:b/>
          <w:bCs/>
          <w:color w:val="auto"/>
          <w:spacing w:val="-4"/>
          <w:kern w:val="0"/>
          <w:sz w:val="21"/>
          <w:szCs w:val="21"/>
          <w:lang w:eastAsia="zh-CN"/>
        </w:rPr>
        <w:t>《</w:t>
      </w:r>
      <w:r>
        <w:rPr>
          <w:rFonts w:ascii="宋体" w:eastAsia="宋体" w:hAnsi="宋体" w:cs="宋体" w:hint="eastAsia"/>
          <w:b/>
          <w:bCs/>
          <w:color w:val="auto"/>
          <w:spacing w:val="-4"/>
          <w:kern w:val="0"/>
          <w:sz w:val="21"/>
          <w:szCs w:val="21"/>
          <w:lang w:val="en-US" w:eastAsia="zh-CN"/>
        </w:rPr>
        <w:t>政府采购违法行为风险知悉确认书</w:t>
      </w:r>
      <w:r>
        <w:rPr>
          <w:rFonts w:ascii="宋体" w:eastAsia="宋体" w:hAnsi="宋体" w:cs="宋体" w:hint="eastAsia"/>
          <w:b/>
          <w:bCs/>
          <w:color w:val="auto"/>
          <w:spacing w:val="-4"/>
          <w:kern w:val="0"/>
          <w:sz w:val="21"/>
          <w:szCs w:val="21"/>
          <w:lang w:eastAsia="zh-CN"/>
        </w:rPr>
        <w:t>》需由</w:t>
      </w:r>
      <w:r>
        <w:rPr>
          <w:rFonts w:ascii="宋体" w:eastAsia="宋体" w:hAnsi="宋体" w:cs="宋体" w:hint="eastAsia"/>
          <w:b/>
          <w:bCs/>
          <w:color w:val="auto"/>
          <w:spacing w:val="-4"/>
          <w:kern w:val="0"/>
          <w:sz w:val="21"/>
          <w:szCs w:val="21"/>
          <w:highlight w:val="none"/>
        </w:rPr>
        <w:t>投标供应商负责人签字并加盖单位公章后，扫描上传至投标文件一并提交。</w:t>
      </w:r>
    </w:p>
    <w:p>
      <w:pPr>
        <w:spacing w:line="360" w:lineRule="auto"/>
        <w:ind w:firstLine="420" w:firstLineChars="200"/>
        <w:rPr>
          <w:rFonts w:ascii="宋体" w:hAnsi="宋体"/>
          <w:b/>
          <w:bCs/>
          <w:szCs w:val="21"/>
        </w:rPr>
      </w:pPr>
    </w:p>
    <w:p>
      <w:pPr>
        <w:rPr>
          <w:rFonts w:ascii="宋体" w:hAnsi="宋体"/>
          <w:szCs w:val="21"/>
        </w:rPr>
      </w:pPr>
      <w:r>
        <w:rPr>
          <w:rFonts w:hint="eastAsia"/>
          <w:szCs w:val="21"/>
          <w:u w:val="single"/>
        </w:rPr>
        <w:t>（备注：如联合体投标，仅需加盖牵头人的公章）</w:t>
      </w:r>
    </w:p>
    <w:p>
      <w:pPr>
        <w:rPr>
          <w:rFonts w:ascii="黑体" w:eastAsia="黑体" w:hAnsi="宋体" w:cs="Times New Roman" w:hint="eastAsia"/>
          <w:bCs/>
          <w:kern w:val="0"/>
          <w:sz w:val="24"/>
          <w:szCs w:val="32"/>
          <w:lang w:eastAsia="zh-CN"/>
        </w:rPr>
      </w:pPr>
      <w:r>
        <w:rPr>
          <w:rFonts w:ascii="黑体" w:eastAsia="黑体" w:hAnsi="宋体" w:cs="Times New Roman" w:hint="eastAsia"/>
          <w:bCs/>
          <w:kern w:val="0"/>
          <w:sz w:val="24"/>
          <w:szCs w:val="32"/>
          <w:lang w:eastAsia="zh-CN"/>
        </w:rPr>
        <w:br w:type="page"/>
      </w:r>
    </w:p>
    <w:p>
      <w:pPr>
        <w:ind w:left="0" w:firstLine="420" w:leftChars="0" w:firstLineChars="200"/>
        <w:rPr>
          <w:rFonts w:ascii="黑体" w:eastAsia="黑体" w:hAnsi="宋体" w:hint="eastAsia"/>
          <w:bCs/>
          <w:kern w:val="0"/>
          <w:sz w:val="24"/>
          <w:szCs w:val="32"/>
        </w:rPr>
      </w:pPr>
    </w:p>
    <w:p>
      <w:pPr>
        <w:keepNext/>
        <w:keepLines/>
        <w:spacing w:before="260" w:after="260"/>
        <w:jc w:val="center"/>
        <w:outlineLvl w:val="2"/>
        <w:rPr>
          <w:rFonts w:ascii="黑体" w:eastAsia="黑体" w:hAnsi="宋体"/>
          <w:bCs/>
          <w:kern w:val="0"/>
          <w:sz w:val="24"/>
          <w:szCs w:val="32"/>
        </w:rPr>
      </w:pPr>
      <w:r>
        <w:rPr>
          <w:rFonts w:ascii="黑体" w:eastAsia="黑体" w:hAnsi="宋体" w:hint="eastAsia"/>
          <w:bCs/>
          <w:kern w:val="0"/>
          <w:sz w:val="24"/>
          <w:szCs w:val="32"/>
          <w:lang w:val="en-US" w:eastAsia="zh-CN"/>
        </w:rPr>
        <w:t>二</w:t>
      </w:r>
      <w:r>
        <w:rPr>
          <w:rFonts w:ascii="黑体" w:eastAsia="黑体" w:hAnsi="宋体" w:hint="eastAsia"/>
          <w:bCs/>
          <w:kern w:val="0"/>
          <w:sz w:val="24"/>
          <w:szCs w:val="32"/>
        </w:rPr>
        <w:t>、法定代表人（负责人）资格证明书</w:t>
      </w:r>
    </w:p>
    <w:p>
      <w:pPr>
        <w:rPr>
          <w:rFonts w:ascii="Times New Roman" w:hAnsi="Times New Roman"/>
          <w:sz w:val="24"/>
          <w:szCs w:val="24"/>
        </w:rPr>
      </w:pPr>
    </w:p>
    <w:p>
      <w:pPr>
        <w:spacing w:line="360" w:lineRule="auto"/>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u w:val="single"/>
        </w:rPr>
        <w:t xml:space="preserve">         </w:t>
      </w:r>
      <w:r>
        <w:rPr>
          <w:rFonts w:ascii="Times New Roman" w:hAnsi="Times New Roman" w:hint="eastAsia"/>
          <w:szCs w:val="21"/>
        </w:rPr>
        <w:t>同志，现任我单位</w:t>
      </w:r>
      <w:r>
        <w:rPr>
          <w:rFonts w:ascii="Times New Roman" w:hAnsi="Times New Roman" w:hint="eastAsia"/>
          <w:szCs w:val="21"/>
          <w:u w:val="single"/>
        </w:rPr>
        <w:t xml:space="preserve">         </w:t>
      </w:r>
      <w:r>
        <w:rPr>
          <w:rFonts w:ascii="Times New Roman" w:hAnsi="Times New Roman" w:hint="eastAsia"/>
          <w:szCs w:val="21"/>
        </w:rPr>
        <w:t>职务，为法定代表人</w:t>
      </w:r>
      <w:r>
        <w:rPr>
          <w:rFonts w:ascii="黑体" w:eastAsia="黑体" w:hAnsi="Times New Roman" w:hint="eastAsia"/>
          <w:b/>
          <w:kern w:val="0"/>
          <w:sz w:val="24"/>
          <w:szCs w:val="24"/>
        </w:rPr>
        <w:t>（负责人）</w:t>
      </w:r>
      <w:r>
        <w:rPr>
          <w:rFonts w:ascii="Times New Roman" w:hAnsi="Times New Roman" w:hint="eastAsia"/>
          <w:szCs w:val="21"/>
        </w:rPr>
        <w:t>，特此证明。</w:t>
      </w:r>
    </w:p>
    <w:p>
      <w:pPr>
        <w:spacing w:line="360" w:lineRule="auto"/>
        <w:rPr>
          <w:rFonts w:ascii="Times New Roman" w:hAnsi="Times New Roman"/>
          <w:szCs w:val="21"/>
        </w:rPr>
      </w:pPr>
      <w:r>
        <w:rPr>
          <w:rFonts w:ascii="Times New Roman" w:hAnsi="Times New Roman" w:hint="eastAsia"/>
          <w:szCs w:val="21"/>
        </w:rPr>
        <w:t>说明：1、法定代表人为企业事业单位、国家机关、社会团体的主要负责人。</w:t>
      </w:r>
    </w:p>
    <w:p>
      <w:pPr>
        <w:rPr>
          <w:rFonts w:ascii="Times New Roman" w:hAnsi="Times New Roman"/>
          <w:szCs w:val="21"/>
        </w:rPr>
      </w:pPr>
      <w:r>
        <w:rPr>
          <w:rFonts w:ascii="Times New Roman" w:hAnsi="Times New Roman" w:hint="eastAsia"/>
          <w:szCs w:val="21"/>
        </w:rPr>
        <w:t xml:space="preserve">      2、内容必须填写真实、清楚，涂改无效，不得转让、买卖。</w:t>
      </w:r>
    </w:p>
    <w:p>
      <w:pPr>
        <w:spacing w:line="360" w:lineRule="auto"/>
        <w:rPr>
          <w:rFonts w:ascii="Times New Roman" w:hAnsi="Times New Roman"/>
          <w:b/>
          <w:szCs w:val="21"/>
        </w:rPr>
      </w:pPr>
    </w:p>
    <w:p>
      <w:pPr>
        <w:spacing w:line="360" w:lineRule="auto"/>
        <w:rPr>
          <w:rFonts w:ascii="Times New Roman" w:hAnsi="Times New Roman"/>
          <w:b/>
          <w:sz w:val="24"/>
          <w:szCs w:val="24"/>
        </w:rPr>
      </w:pPr>
      <w:r>
        <w:rPr>
          <w:rFonts w:ascii="Times New Roman" w:hAnsi="Times New Roman" w:hint="eastAsia"/>
          <w:b/>
          <w:sz w:val="24"/>
          <w:szCs w:val="24"/>
        </w:rPr>
        <w:t>附：要求必须提供法定代表人（负责人）身份证扫描件（正反两面）</w:t>
      </w:r>
      <w:r>
        <w:rPr>
          <w:rFonts w:ascii="Times New Roman" w:hAnsi="Times New Roman" w:hint="eastAsia"/>
          <w:b/>
          <w:sz w:val="24"/>
          <w:szCs w:val="24"/>
          <w:lang w:eastAsia="zh-CN"/>
        </w:rPr>
        <w:t>且在有效期限内</w:t>
      </w:r>
      <w:r>
        <w:rPr>
          <w:rFonts w:ascii="Times New Roman" w:hAnsi="Times New Roman" w:hint="eastAsia"/>
          <w:b/>
          <w:sz w:val="24"/>
          <w:szCs w:val="24"/>
        </w:rPr>
        <w:t>。</w:t>
      </w:r>
    </w:p>
    <w:p>
      <w:pPr>
        <w:spacing w:line="360" w:lineRule="auto"/>
        <w:rPr>
          <w:rFonts w:ascii="Times New Roman" w:hAnsi="Times New Roman"/>
          <w:b/>
          <w:sz w:val="24"/>
          <w:szCs w:val="24"/>
        </w:rPr>
      </w:pPr>
    </w:p>
    <w:p>
      <w:pPr>
        <w:rPr>
          <w:rFonts w:ascii="宋体" w:hAnsi="宋体"/>
          <w:szCs w:val="21"/>
        </w:rPr>
      </w:pPr>
      <w:r>
        <w:rPr>
          <w:rFonts w:hint="eastAsia"/>
          <w:szCs w:val="21"/>
          <w:u w:val="single"/>
        </w:rPr>
        <w:t>（备注：如联合体投标，单位一栏仅需填写牵头人的名称）</w:t>
      </w:r>
    </w:p>
    <w:p>
      <w:pPr>
        <w:spacing w:line="360" w:lineRule="auto"/>
        <w:rPr>
          <w:rFonts w:ascii="Times New Roman" w:hAnsi="Times New Roman" w:hint="eastAsia"/>
          <w:b/>
          <w:sz w:val="24"/>
          <w:szCs w:val="24"/>
          <w:lang w:val="en-US" w:eastAsia="zh-CN"/>
        </w:rPr>
      </w:pPr>
    </w:p>
    <w:p>
      <w:pPr>
        <w:spacing w:line="360" w:lineRule="auto"/>
        <w:rPr>
          <w:rFonts w:ascii="Times New Roman" w:hAnsi="Times New Roman" w:hint="eastAsia"/>
          <w:b/>
          <w:sz w:val="24"/>
          <w:szCs w:val="24"/>
          <w:lang w:val="en-US" w:eastAsia="zh-CN"/>
        </w:rPr>
      </w:pPr>
      <w:r>
        <w:rPr>
          <w:rFonts w:ascii="Times New Roman" w:hAnsi="Times New Roman" w:hint="eastAsia"/>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pStyle w:val="NoSpacing"/>
        <w:rPr>
          <w:rFonts w:hint="eastAsia"/>
        </w:rPr>
      </w:pPr>
    </w:p>
    <w:p>
      <w:pPr>
        <w:keepNext/>
        <w:keepLines/>
        <w:spacing w:before="260" w:after="260"/>
        <w:jc w:val="center"/>
        <w:outlineLvl w:val="2"/>
        <w:rPr>
          <w:rFonts w:ascii="黑体" w:eastAsia="黑体" w:hAnsi="宋体"/>
          <w:bCs/>
          <w:sz w:val="24"/>
          <w:szCs w:val="24"/>
        </w:rPr>
      </w:pPr>
      <w:r>
        <w:rPr>
          <w:rFonts w:ascii="宋体" w:hAnsi="宋体"/>
          <w:b/>
          <w:bCs/>
          <w:sz w:val="28"/>
          <w:szCs w:val="32"/>
        </w:rPr>
        <w:tab/>
      </w:r>
      <w:r>
        <w:rPr>
          <w:rFonts w:ascii="黑体" w:eastAsia="黑体" w:hAnsi="宋体" w:hint="eastAsia"/>
          <w:bCs/>
          <w:kern w:val="0"/>
          <w:sz w:val="24"/>
          <w:szCs w:val="24"/>
          <w:lang w:val="en-US" w:eastAsia="zh-CN"/>
        </w:rPr>
        <w:t>三</w:t>
      </w:r>
      <w:r>
        <w:rPr>
          <w:rFonts w:ascii="黑体" w:eastAsia="黑体" w:hAnsi="宋体" w:hint="eastAsia"/>
          <w:bCs/>
          <w:kern w:val="0"/>
          <w:sz w:val="24"/>
          <w:szCs w:val="24"/>
        </w:rPr>
        <w:t>、投标文件签署授权委托书</w:t>
      </w:r>
    </w:p>
    <w:p>
      <w:pPr>
        <w:spacing w:line="360" w:lineRule="auto"/>
        <w:ind w:firstLine="420" w:firstLineChars="200"/>
        <w:rPr>
          <w:rFonts w:ascii="Times New Roman" w:hAnsi="Times New Roman"/>
          <w:szCs w:val="21"/>
        </w:rPr>
      </w:pPr>
      <w:r>
        <w:rPr>
          <w:rFonts w:ascii="Times New Roman" w:hAnsi="Times New Roman" w:hint="eastAsia"/>
          <w:szCs w:val="21"/>
        </w:rPr>
        <w:t>本授权委托书声明：我</w:t>
      </w:r>
      <w:r>
        <w:rPr>
          <w:rFonts w:ascii="Times New Roman" w:hAnsi="Times New Roman" w:hint="eastAsia"/>
          <w:szCs w:val="21"/>
          <w:u w:val="single"/>
        </w:rPr>
        <w:t xml:space="preserve">           </w:t>
      </w:r>
      <w:r>
        <w:rPr>
          <w:rFonts w:ascii="Times New Roman" w:hAnsi="Times New Roman" w:hint="eastAsia"/>
          <w:szCs w:val="21"/>
        </w:rPr>
        <w:t>（姓名）系</w:t>
      </w:r>
      <w:r>
        <w:rPr>
          <w:rFonts w:ascii="Times New Roman" w:hAnsi="Times New Roman" w:hint="eastAsia"/>
          <w:szCs w:val="21"/>
          <w:u w:val="single"/>
        </w:rPr>
        <w:t xml:space="preserve">             </w:t>
      </w:r>
      <w:r>
        <w:rPr>
          <w:rFonts w:ascii="Times New Roman" w:hAnsi="Times New Roman" w:hint="eastAsia"/>
          <w:szCs w:val="21"/>
        </w:rPr>
        <w:t>（投标供应商名称）的法定代表人</w:t>
      </w:r>
      <w:r>
        <w:rPr>
          <w:rFonts w:ascii="黑体" w:eastAsia="黑体" w:hAnsi="Times New Roman" w:hint="eastAsia"/>
          <w:b/>
          <w:kern w:val="0"/>
          <w:sz w:val="24"/>
          <w:szCs w:val="24"/>
        </w:rPr>
        <w:t>（负责人）</w:t>
      </w:r>
      <w:r>
        <w:rPr>
          <w:rFonts w:ascii="Times New Roman" w:hAnsi="Times New Roman" w:hint="eastAsia"/>
          <w:szCs w:val="21"/>
        </w:rPr>
        <w:t>，现授权委托</w:t>
      </w:r>
      <w:r>
        <w:rPr>
          <w:rFonts w:ascii="Times New Roman" w:hAnsi="Times New Roman" w:hint="eastAsia"/>
          <w:szCs w:val="21"/>
          <w:u w:val="single"/>
        </w:rPr>
        <w:t xml:space="preserve">            </w:t>
      </w:r>
      <w:r>
        <w:rPr>
          <w:rFonts w:ascii="Times New Roman" w:hAnsi="Times New Roman" w:hint="eastAsia"/>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Times New Roman" w:hAnsi="Times New Roman"/>
          <w:szCs w:val="21"/>
        </w:rPr>
      </w:pPr>
      <w:r>
        <w:rPr>
          <w:rFonts w:ascii="Times New Roman" w:hAnsi="Times New Roman" w:hint="eastAsia"/>
          <w:szCs w:val="21"/>
        </w:rPr>
        <w:t>代理人无转委托权，特此委托。</w:t>
      </w:r>
    </w:p>
    <w:p>
      <w:pPr>
        <w:spacing w:line="360" w:lineRule="auto"/>
        <w:ind w:firstLine="420"/>
        <w:rPr>
          <w:rFonts w:ascii="Times New Roman" w:hAnsi="Times New Roman"/>
          <w:szCs w:val="21"/>
        </w:rPr>
      </w:pPr>
    </w:p>
    <w:p>
      <w:pPr>
        <w:spacing w:line="360" w:lineRule="auto"/>
        <w:ind w:left="540" w:leftChars="257"/>
        <w:rPr>
          <w:rFonts w:ascii="Times New Roman" w:hAnsi="Times New Roman"/>
          <w:szCs w:val="21"/>
          <w:u w:val="single"/>
        </w:rPr>
      </w:pPr>
      <w:r>
        <w:rPr>
          <w:rFonts w:ascii="Times New Roman" w:hAnsi="Times New Roman" w:hint="eastAsia"/>
          <w:szCs w:val="21"/>
        </w:rPr>
        <w:t>代理人：</w:t>
      </w:r>
      <w:r>
        <w:rPr>
          <w:rFonts w:ascii="Times New Roman" w:hAnsi="Times New Roman" w:hint="eastAsia"/>
          <w:szCs w:val="21"/>
          <w:u w:val="single"/>
        </w:rPr>
        <w:t xml:space="preserve">             </w:t>
      </w:r>
    </w:p>
    <w:p>
      <w:pPr>
        <w:spacing w:line="360" w:lineRule="auto"/>
        <w:ind w:left="540" w:leftChars="257"/>
        <w:rPr>
          <w:rFonts w:ascii="Times New Roman" w:hAnsi="Times New Roman"/>
          <w:szCs w:val="21"/>
        </w:rPr>
      </w:pPr>
      <w:r>
        <w:rPr>
          <w:rFonts w:ascii="Times New Roman" w:hAnsi="Times New Roman" w:hint="eastAsia"/>
          <w:szCs w:val="21"/>
        </w:rPr>
        <w:t>联系电话：</w:t>
      </w:r>
      <w:r>
        <w:rPr>
          <w:rFonts w:ascii="Times New Roman" w:hAnsi="Times New Roman" w:hint="eastAsia"/>
          <w:szCs w:val="21"/>
          <w:u w:val="single"/>
        </w:rPr>
        <w:t xml:space="preserve">            </w:t>
      </w:r>
      <w:r>
        <w:rPr>
          <w:rFonts w:ascii="Times New Roman" w:hAnsi="Times New Roman" w:hint="eastAsia"/>
          <w:szCs w:val="21"/>
        </w:rPr>
        <w:t xml:space="preserve">  手机：</w:t>
      </w:r>
      <w:r>
        <w:rPr>
          <w:rFonts w:ascii="Times New Roman" w:hAnsi="Times New Roman" w:hint="eastAsia"/>
          <w:szCs w:val="21"/>
          <w:u w:val="single"/>
        </w:rPr>
        <w:t xml:space="preserve">                   </w:t>
      </w:r>
    </w:p>
    <w:p>
      <w:pPr>
        <w:spacing w:line="360" w:lineRule="auto"/>
        <w:ind w:left="540" w:leftChars="257"/>
        <w:rPr>
          <w:rFonts w:ascii="Times New Roman" w:hAnsi="Times New Roman"/>
          <w:szCs w:val="21"/>
          <w:u w:val="single"/>
        </w:rPr>
      </w:pPr>
      <w:r>
        <w:rPr>
          <w:rFonts w:ascii="Times New Roman" w:hAnsi="Times New Roman" w:hint="eastAsia"/>
          <w:szCs w:val="21"/>
        </w:rPr>
        <w:t>身份证号码：</w:t>
      </w:r>
      <w:r>
        <w:rPr>
          <w:rFonts w:ascii="Times New Roman" w:hAnsi="Times New Roman" w:hint="eastAsia"/>
          <w:szCs w:val="21"/>
          <w:u w:val="single"/>
        </w:rPr>
        <w:t xml:space="preserve">                        </w:t>
      </w:r>
      <w:r>
        <w:rPr>
          <w:rFonts w:ascii="Times New Roman" w:hAnsi="Times New Roman" w:hint="eastAsia"/>
          <w:szCs w:val="21"/>
        </w:rPr>
        <w:t>职务：</w:t>
      </w:r>
      <w:r>
        <w:rPr>
          <w:rFonts w:ascii="Times New Roman" w:hAnsi="Times New Roman" w:hint="eastAsia"/>
          <w:szCs w:val="21"/>
          <w:u w:val="single"/>
        </w:rPr>
        <w:t xml:space="preserve">       </w:t>
      </w:r>
    </w:p>
    <w:p>
      <w:pPr>
        <w:spacing w:line="360" w:lineRule="auto"/>
        <w:ind w:left="540" w:leftChars="257"/>
        <w:rPr>
          <w:rFonts w:ascii="Times New Roman" w:hAnsi="Times New Roman"/>
          <w:szCs w:val="21"/>
        </w:rPr>
      </w:pPr>
      <w:r>
        <w:rPr>
          <w:rFonts w:ascii="Times New Roman" w:hAnsi="Times New Roman" w:hint="eastAsia"/>
          <w:szCs w:val="21"/>
        </w:rPr>
        <w:t>授权委托日期：</w:t>
      </w:r>
      <w:r>
        <w:rPr>
          <w:rFonts w:ascii="Times New Roman" w:hAnsi="Times New Roman" w:hint="eastAsia"/>
          <w:szCs w:val="21"/>
          <w:u w:val="single"/>
        </w:rPr>
        <w:t xml:space="preserve">         </w:t>
      </w:r>
      <w:r>
        <w:rPr>
          <w:rFonts w:ascii="Times New Roman" w:hAnsi="Times New Roman" w:hint="eastAsia"/>
          <w:szCs w:val="21"/>
        </w:rPr>
        <w:t>年</w:t>
      </w:r>
      <w:r>
        <w:rPr>
          <w:rFonts w:ascii="Times New Roman" w:hAnsi="Times New Roman" w:hint="eastAsia"/>
          <w:szCs w:val="21"/>
          <w:u w:val="single"/>
        </w:rPr>
        <w:t xml:space="preserve">     </w:t>
      </w:r>
      <w:r>
        <w:rPr>
          <w:rFonts w:ascii="Times New Roman" w:hAnsi="Times New Roman" w:hint="eastAsia"/>
          <w:szCs w:val="21"/>
        </w:rPr>
        <w:t xml:space="preserve">月 </w:t>
      </w:r>
      <w:r>
        <w:rPr>
          <w:rFonts w:ascii="Times New Roman" w:hAnsi="Times New Roman" w:hint="eastAsia"/>
          <w:szCs w:val="21"/>
          <w:u w:val="single"/>
        </w:rPr>
        <w:t xml:space="preserve">      </w:t>
      </w:r>
      <w:r>
        <w:rPr>
          <w:rFonts w:ascii="Times New Roman" w:hAnsi="Times New Roman" w:hint="eastAsia"/>
          <w:szCs w:val="21"/>
        </w:rPr>
        <w:t>日</w:t>
      </w:r>
    </w:p>
    <w:p>
      <w:pPr>
        <w:spacing w:line="360" w:lineRule="auto"/>
        <w:ind w:left="540" w:leftChars="257"/>
        <w:rPr>
          <w:rFonts w:ascii="Times New Roman" w:hAnsi="Times New Roman"/>
          <w:szCs w:val="21"/>
          <w:u w:val="single"/>
        </w:rPr>
      </w:pPr>
    </w:p>
    <w:p>
      <w:pPr>
        <w:spacing w:line="360" w:lineRule="auto"/>
        <w:rPr>
          <w:rFonts w:ascii="Times New Roman" w:hAnsi="Times New Roman"/>
          <w:b/>
          <w:sz w:val="24"/>
          <w:szCs w:val="24"/>
        </w:rPr>
      </w:pPr>
      <w:r>
        <w:rPr>
          <w:rFonts w:ascii="Times New Roman" w:hAnsi="Times New Roman" w:hint="eastAsia"/>
          <w:b/>
          <w:sz w:val="24"/>
          <w:szCs w:val="24"/>
        </w:rPr>
        <w:t>附：要求必须提供代理人身份证扫描件（正反两面）</w:t>
      </w:r>
      <w:r>
        <w:rPr>
          <w:rFonts w:ascii="Times New Roman" w:hAnsi="Times New Roman" w:hint="eastAsia"/>
          <w:b/>
          <w:sz w:val="24"/>
          <w:szCs w:val="24"/>
          <w:lang w:eastAsia="zh-CN"/>
        </w:rPr>
        <w:t>且在有效期限内</w:t>
      </w:r>
      <w:r>
        <w:rPr>
          <w:rFonts w:ascii="Times New Roman" w:hAnsi="Times New Roman" w:hint="eastAsia"/>
          <w:b/>
          <w:sz w:val="24"/>
          <w:szCs w:val="24"/>
        </w:rPr>
        <w:t>。</w:t>
      </w:r>
    </w:p>
    <w:p>
      <w:pPr>
        <w:rPr>
          <w:szCs w:val="21"/>
          <w:u w:val="single"/>
        </w:rPr>
      </w:pPr>
    </w:p>
    <w:p>
      <w:pPr>
        <w:rPr>
          <w:rFonts w:ascii="宋体" w:hAnsi="宋体"/>
          <w:szCs w:val="21"/>
        </w:rPr>
      </w:pPr>
      <w:r>
        <w:rPr>
          <w:rFonts w:hint="eastAsia"/>
          <w:szCs w:val="21"/>
          <w:u w:val="single"/>
        </w:rPr>
        <w:t>（备注：如联合体投标，投标供应商名称一栏仅需填写牵头人的名称）</w:t>
      </w:r>
    </w:p>
    <w:p>
      <w:pPr>
        <w:spacing w:line="360" w:lineRule="auto"/>
        <w:rPr>
          <w:rFonts w:ascii="黑体" w:eastAsia="黑体"/>
          <w:b/>
          <w:sz w:val="24"/>
        </w:rPr>
      </w:pPr>
    </w:p>
    <w:p>
      <w:pPr>
        <w:spacing w:line="360" w:lineRule="auto"/>
        <w:rPr>
          <w:rFonts w:ascii="Times New Roman" w:hAnsi="Times New Roman" w:hint="eastAsia"/>
          <w:b/>
          <w:sz w:val="24"/>
          <w:szCs w:val="24"/>
          <w:lang w:val="en-US" w:eastAsia="zh-CN"/>
        </w:rPr>
      </w:pPr>
      <w:r>
        <w:rPr>
          <w:rFonts w:ascii="Times New Roman" w:hAnsi="Times New Roman" w:hint="eastAsia"/>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pStyle w:val="NoSpacing"/>
      </w:pPr>
    </w:p>
    <w:p>
      <w:pPr>
        <w:keepNext/>
        <w:keepLines/>
        <w:spacing w:before="260" w:after="260"/>
        <w:jc w:val="center"/>
        <w:outlineLvl w:val="2"/>
        <w:rPr>
          <w:rFonts w:ascii="黑体" w:eastAsia="黑体" w:hAnsi="宋体"/>
          <w:bCs/>
          <w:kern w:val="0"/>
          <w:sz w:val="24"/>
          <w:szCs w:val="24"/>
        </w:rPr>
      </w:pPr>
      <w:r>
        <w:rPr>
          <w:rFonts w:ascii="黑体" w:eastAsia="黑体" w:hAnsi="宋体" w:hint="eastAsia"/>
          <w:bCs/>
          <w:kern w:val="0"/>
          <w:sz w:val="24"/>
          <w:szCs w:val="24"/>
          <w:lang w:val="en-US" w:eastAsia="zh-CN"/>
        </w:rPr>
        <w:t>四</w:t>
      </w:r>
      <w:r>
        <w:rPr>
          <w:rFonts w:ascii="黑体" w:eastAsia="黑体" w:hAnsi="宋体" w:hint="eastAsia"/>
          <w:bCs/>
          <w:kern w:val="0"/>
          <w:sz w:val="24"/>
          <w:szCs w:val="24"/>
        </w:rPr>
        <w:t>、实质性条款响应情况表</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5"/>
        <w:gridCol w:w="4790"/>
        <w:gridCol w:w="368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705" w:type="dxa"/>
            <w:noWrap w:val="0"/>
            <w:vAlign w:val="top"/>
          </w:tcPr>
          <w:p>
            <w:pPr>
              <w:adjustRightInd w:val="0"/>
              <w:snapToGrid w:val="0"/>
              <w:spacing w:line="360" w:lineRule="auto"/>
              <w:jc w:val="center"/>
              <w:rPr>
                <w:rFonts w:ascii="宋体" w:hAnsi="宋体"/>
                <w:kern w:val="0"/>
                <w:szCs w:val="21"/>
              </w:rPr>
            </w:pPr>
            <w:r>
              <w:rPr>
                <w:rFonts w:ascii="宋体" w:hAnsi="宋体" w:hint="eastAsia"/>
                <w:kern w:val="0"/>
                <w:szCs w:val="21"/>
              </w:rPr>
              <w:t>序号</w:t>
            </w:r>
          </w:p>
        </w:tc>
        <w:tc>
          <w:tcPr>
            <w:tcW w:w="4790" w:type="dxa"/>
            <w:noWrap w:val="0"/>
            <w:vAlign w:val="top"/>
          </w:tcPr>
          <w:p>
            <w:pPr>
              <w:adjustRightInd w:val="0"/>
              <w:snapToGrid w:val="0"/>
              <w:spacing w:line="360" w:lineRule="auto"/>
              <w:jc w:val="center"/>
              <w:rPr>
                <w:rFonts w:ascii="宋体" w:hAnsi="宋体"/>
                <w:kern w:val="0"/>
                <w:szCs w:val="21"/>
              </w:rPr>
            </w:pPr>
            <w:r>
              <w:rPr>
                <w:rFonts w:ascii="宋体" w:hAnsi="宋体" w:hint="eastAsia"/>
                <w:kern w:val="0"/>
                <w:szCs w:val="21"/>
              </w:rPr>
              <w:t>采购人要求内容</w:t>
            </w:r>
          </w:p>
        </w:tc>
        <w:tc>
          <w:tcPr>
            <w:tcW w:w="3685" w:type="dxa"/>
            <w:noWrap w:val="0"/>
            <w:vAlign w:val="top"/>
          </w:tcPr>
          <w:p>
            <w:pPr>
              <w:adjustRightInd w:val="0"/>
              <w:snapToGrid w:val="0"/>
              <w:spacing w:line="360" w:lineRule="auto"/>
              <w:jc w:val="center"/>
              <w:rPr>
                <w:rFonts w:ascii="宋体" w:hAnsi="宋体"/>
                <w:kern w:val="0"/>
                <w:szCs w:val="21"/>
              </w:rPr>
            </w:pPr>
            <w:r>
              <w:rPr>
                <w:rFonts w:ascii="宋体" w:hAnsi="宋体" w:hint="eastAsia"/>
                <w:kern w:val="0"/>
                <w:szCs w:val="21"/>
              </w:rPr>
              <w:t>投标人响应情况</w:t>
            </w:r>
          </w:p>
        </w:tc>
      </w:tr>
      <w:tr>
        <w:tblPrEx>
          <w:tblW w:w="0" w:type="auto"/>
          <w:tblInd w:w="0" w:type="dxa"/>
          <w:tblLayout w:type="fixed"/>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ascii="宋体" w:hAnsi="宋体" w:hint="eastAsia"/>
                <w:kern w:val="0"/>
                <w:szCs w:val="21"/>
              </w:rPr>
              <w:t>1</w:t>
            </w:r>
          </w:p>
        </w:tc>
        <w:tc>
          <w:tcPr>
            <w:tcW w:w="4790" w:type="dxa"/>
            <w:noWrap w:val="0"/>
            <w:vAlign w:val="top"/>
          </w:tcPr>
          <w:p>
            <w:pPr>
              <w:keepNext/>
              <w:keepLines/>
              <w:tabs>
                <w:tab w:val="left" w:pos="765"/>
              </w:tabs>
              <w:spacing w:line="376" w:lineRule="auto"/>
              <w:outlineLvl w:val="3"/>
              <w:rPr>
                <w:rFonts w:ascii="Times New Roman" w:hAnsi="宋体"/>
                <w:kern w:val="0"/>
                <w:szCs w:val="21"/>
              </w:rPr>
            </w:pPr>
            <w:r>
              <w:rPr>
                <w:rFonts w:ascii="宋体" w:eastAsia="宋体" w:hAnsi="宋体" w:cs="宋体" w:hint="eastAsia"/>
                <w:kern w:val="0"/>
                <w:sz w:val="21"/>
                <w:szCs w:val="21"/>
              </w:rPr>
              <w:t>满足本项目</w:t>
            </w:r>
            <w:r>
              <w:rPr>
                <w:rFonts w:ascii="宋体" w:eastAsia="宋体" w:hAnsi="宋体" w:cs="宋体" w:hint="eastAsia"/>
                <w:kern w:val="0"/>
                <w:sz w:val="21"/>
                <w:szCs w:val="21"/>
                <w:lang w:eastAsia="zh-CN"/>
              </w:rPr>
              <w:t>所有</w:t>
            </w:r>
            <w:r>
              <w:rPr>
                <w:rFonts w:ascii="宋体" w:eastAsia="宋体" w:hAnsi="宋体" w:cs="宋体" w:hint="eastAsia"/>
                <w:kern w:val="0"/>
                <w:sz w:val="21"/>
                <w:szCs w:val="21"/>
              </w:rPr>
              <w:t>标★的条款要求</w:t>
            </w:r>
            <w:r>
              <w:rPr>
                <w:rFonts w:ascii="宋体" w:eastAsia="宋体" w:hAnsi="宋体" w:cs="宋体" w:hint="eastAsia"/>
                <w:b/>
                <w:bCs/>
                <w:kern w:val="0"/>
                <w:sz w:val="21"/>
                <w:szCs w:val="21"/>
                <w:lang w:eastAsia="zh-CN"/>
              </w:rPr>
              <w:t>（涉及提供佐证材料的，应按要求提供相应证明材料，任一项未响应或不满足要求的，将导致投标无效。）</w:t>
            </w:r>
          </w:p>
        </w:tc>
        <w:tc>
          <w:tcPr>
            <w:tcW w:w="3685" w:type="dxa"/>
            <w:noWrap w:val="0"/>
            <w:vAlign w:val="top"/>
          </w:tcPr>
          <w:p>
            <w:pPr>
              <w:adjustRightInd w:val="0"/>
              <w:snapToGrid w:val="0"/>
              <w:spacing w:line="360" w:lineRule="auto"/>
              <w:rPr>
                <w:rFonts w:ascii="宋体" w:hAnsi="宋体"/>
                <w:kern w:val="0"/>
                <w:szCs w:val="21"/>
              </w:rPr>
            </w:pPr>
          </w:p>
        </w:tc>
      </w:tr>
    </w:tbl>
    <w:p>
      <w:pPr>
        <w:keepNext/>
        <w:keepLines/>
        <w:tabs>
          <w:tab w:val="left" w:pos="765"/>
        </w:tabs>
        <w:spacing w:line="376" w:lineRule="auto"/>
        <w:outlineLvl w:val="3"/>
        <w:rPr>
          <w:rFonts w:ascii="宋体" w:eastAsia="宋体" w:hAnsi="宋体"/>
          <w:bCs/>
          <w:kern w:val="0"/>
          <w:szCs w:val="21"/>
        </w:rPr>
      </w:pPr>
      <w:r>
        <w:rPr>
          <w:rFonts w:ascii="宋体" w:eastAsia="宋体" w:hAnsi="宋体" w:hint="eastAsia"/>
          <w:bCs/>
          <w:kern w:val="0"/>
          <w:szCs w:val="21"/>
        </w:rPr>
        <w:t>注：1.“</w:t>
      </w:r>
      <w:r>
        <w:rPr>
          <w:rFonts w:ascii="宋体" w:hAnsi="宋体" w:hint="eastAsia"/>
          <w:kern w:val="0"/>
          <w:szCs w:val="21"/>
        </w:rPr>
        <w:t>采购人要求内容</w:t>
      </w:r>
      <w:r>
        <w:rPr>
          <w:rFonts w:ascii="宋体" w:eastAsia="宋体" w:hAnsi="宋体" w:hint="eastAsia"/>
          <w:bCs/>
          <w:kern w:val="0"/>
          <w:szCs w:val="21"/>
        </w:rPr>
        <w:t>”为</w:t>
      </w:r>
      <w:r>
        <w:rPr>
          <w:rFonts w:ascii="宋体" w:eastAsia="宋体" w:hAnsi="宋体" w:hint="eastAsia"/>
          <w:b/>
          <w:bCs/>
          <w:kern w:val="0"/>
          <w:szCs w:val="21"/>
          <w:highlight w:val="yellow"/>
        </w:rPr>
        <w:t>“第一册  专用条款/第二章  招标项目需求”</w:t>
      </w:r>
      <w:r>
        <w:rPr>
          <w:rFonts w:ascii="宋体" w:eastAsia="宋体" w:hAnsi="宋体" w:hint="eastAsia"/>
          <w:bCs/>
          <w:kern w:val="0"/>
          <w:szCs w:val="21"/>
        </w:rPr>
        <w:t>中的不可负偏离的实质性条款，即“实质性条款”。</w:t>
      </w:r>
    </w:p>
    <w:p>
      <w:pPr>
        <w:keepNext/>
        <w:keepLines/>
        <w:tabs>
          <w:tab w:val="left" w:pos="765"/>
        </w:tabs>
        <w:spacing w:line="376" w:lineRule="auto"/>
        <w:outlineLvl w:val="3"/>
        <w:rPr>
          <w:rFonts w:ascii="宋体" w:eastAsia="宋体" w:hAnsi="宋体"/>
          <w:bCs/>
          <w:kern w:val="0"/>
          <w:szCs w:val="21"/>
        </w:rPr>
      </w:pPr>
      <w:r>
        <w:rPr>
          <w:rFonts w:ascii="宋体" w:eastAsia="宋体" w:hAnsi="宋体" w:hint="eastAsia"/>
          <w:bCs/>
          <w:kern w:val="0"/>
          <w:szCs w:val="21"/>
        </w:rPr>
        <w:t>2.“投标人响应情况”一栏应如实填写“响应”或“不响应”。</w:t>
      </w:r>
    </w:p>
    <w:p>
      <w:pPr>
        <w:keepNext/>
        <w:keepLines/>
        <w:tabs>
          <w:tab w:val="left" w:pos="765"/>
        </w:tabs>
        <w:spacing w:line="376" w:lineRule="auto"/>
        <w:outlineLvl w:val="3"/>
        <w:rPr>
          <w:rFonts w:ascii="宋体" w:eastAsia="宋体" w:hAnsi="宋体"/>
          <w:bCs/>
          <w:kern w:val="0"/>
          <w:szCs w:val="21"/>
        </w:rPr>
      </w:pPr>
      <w:r>
        <w:rPr>
          <w:rFonts w:ascii="宋体" w:eastAsia="宋体" w:hAnsi="宋体" w:hint="eastAsia"/>
          <w:bCs/>
          <w:kern w:val="0"/>
          <w:szCs w:val="21"/>
        </w:rPr>
        <w:t>3.“实质性条款响应情况表”与投标文件其它内容冲突的，以“实质性条款响应情况表”为准。</w:t>
      </w:r>
    </w:p>
    <w:p>
      <w:pPr>
        <w:keepNext/>
        <w:keepLines/>
        <w:tabs>
          <w:tab w:val="left" w:pos="765"/>
        </w:tabs>
        <w:spacing w:line="376" w:lineRule="auto"/>
        <w:outlineLvl w:val="3"/>
        <w:rPr>
          <w:rFonts w:ascii="宋体" w:eastAsia="宋体" w:hAnsi="宋体"/>
          <w:bCs/>
          <w:kern w:val="0"/>
          <w:szCs w:val="21"/>
          <w:highlight w:val="yellow"/>
        </w:rPr>
      </w:pPr>
      <w:r>
        <w:rPr>
          <w:rFonts w:ascii="宋体" w:eastAsia="宋体" w:hAnsi="宋体" w:hint="eastAsia"/>
          <w:bCs/>
          <w:kern w:val="0"/>
          <w:szCs w:val="21"/>
          <w:highlight w:val="yellow"/>
        </w:rPr>
        <w:t>4.标★的条款要求提供证明材料的，应</w:t>
      </w:r>
      <w:r>
        <w:rPr>
          <w:rFonts w:ascii="宋体" w:eastAsia="宋体" w:hAnsi="宋体" w:hint="eastAsia"/>
          <w:bCs/>
          <w:kern w:val="0"/>
          <w:szCs w:val="21"/>
          <w:highlight w:val="yellow"/>
          <w:lang w:eastAsia="zh-CN"/>
        </w:rPr>
        <w:t>将证明材料</w:t>
      </w:r>
      <w:r>
        <w:rPr>
          <w:rFonts w:ascii="宋体" w:eastAsia="宋体" w:hAnsi="宋体" w:hint="eastAsia"/>
          <w:bCs/>
          <w:kern w:val="0"/>
          <w:szCs w:val="21"/>
          <w:highlight w:val="yellow"/>
        </w:rPr>
        <w:t>附在本表后，未提供证明材料或证明材料与响应情况不相符的，按负偏离处理。</w:t>
      </w:r>
    </w:p>
    <w:p>
      <w:pPr>
        <w:keepNext/>
        <w:keepLines/>
        <w:spacing w:before="260" w:after="260"/>
        <w:jc w:val="center"/>
        <w:outlineLvl w:val="2"/>
        <w:rPr>
          <w:rFonts w:ascii="黑体" w:eastAsia="黑体" w:hAnsi="宋体"/>
          <w:bCs/>
          <w:kern w:val="0"/>
          <w:sz w:val="24"/>
          <w:szCs w:val="24"/>
        </w:rPr>
      </w:pPr>
      <w:r>
        <w:rPr>
          <w:rFonts w:ascii="黑体" w:eastAsia="黑体" w:hAnsi="宋体" w:hint="eastAsia"/>
          <w:bCs/>
          <w:kern w:val="0"/>
          <w:sz w:val="24"/>
          <w:szCs w:val="24"/>
          <w:lang w:val="en-US" w:eastAsia="zh-CN"/>
        </w:rPr>
        <w:t>五</w:t>
      </w:r>
      <w:r>
        <w:rPr>
          <w:rFonts w:ascii="黑体" w:eastAsia="黑体" w:hAnsi="宋体" w:hint="eastAsia"/>
          <w:bCs/>
          <w:kern w:val="0"/>
          <w:sz w:val="24"/>
          <w:szCs w:val="24"/>
        </w:rPr>
        <w:t>、详细分项报价清单</w:t>
      </w:r>
    </w:p>
    <w:tbl>
      <w:tblPr>
        <w:tblStyle w:val="TableNormal"/>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28"/>
        <w:gridCol w:w="2485"/>
        <w:gridCol w:w="876"/>
        <w:gridCol w:w="909"/>
        <w:gridCol w:w="1643"/>
        <w:gridCol w:w="1701"/>
        <w:gridCol w:w="1125"/>
      </w:tblGrid>
      <w:tr>
        <w:tblPrEx>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480"/>
          <w:jc w:val="center"/>
        </w:trPr>
        <w:tc>
          <w:tcPr>
            <w:tcW w:w="828" w:type="dxa"/>
            <w:noWrap w:val="0"/>
            <w:vAlign w:val="center"/>
          </w:tcPr>
          <w:p>
            <w:pPr>
              <w:adjustRightInd w:val="0"/>
              <w:snapToGrid w:val="0"/>
              <w:spacing w:line="300" w:lineRule="auto"/>
              <w:jc w:val="center"/>
              <w:rPr>
                <w:rFonts w:ascii="Times New Roman" w:hAnsi="Times New Roman"/>
                <w:b/>
                <w:snapToGrid w:val="0"/>
                <w:kern w:val="0"/>
                <w:szCs w:val="24"/>
              </w:rPr>
            </w:pPr>
            <w:r>
              <w:rPr>
                <w:rFonts w:ascii="Times New Roman" w:hAnsi="Times New Roman" w:hint="eastAsia"/>
                <w:b/>
                <w:snapToGrid w:val="0"/>
                <w:kern w:val="0"/>
                <w:szCs w:val="24"/>
              </w:rPr>
              <w:t>序号</w:t>
            </w:r>
          </w:p>
        </w:tc>
        <w:tc>
          <w:tcPr>
            <w:tcW w:w="2485" w:type="dxa"/>
            <w:noWrap w:val="0"/>
            <w:vAlign w:val="center"/>
          </w:tcPr>
          <w:p>
            <w:pPr>
              <w:adjustRightInd w:val="0"/>
              <w:snapToGrid w:val="0"/>
              <w:spacing w:line="300" w:lineRule="auto"/>
              <w:jc w:val="center"/>
              <w:rPr>
                <w:rFonts w:ascii="Times New Roman" w:hAnsi="Times New Roman"/>
                <w:b/>
                <w:snapToGrid w:val="0"/>
                <w:kern w:val="0"/>
                <w:szCs w:val="24"/>
              </w:rPr>
            </w:pPr>
            <w:r>
              <w:rPr>
                <w:rFonts w:ascii="Times New Roman" w:hAnsi="Times New Roman" w:hint="eastAsia"/>
                <w:b/>
                <w:snapToGrid w:val="0"/>
                <w:kern w:val="0"/>
                <w:szCs w:val="24"/>
              </w:rPr>
              <w:t>项目内容</w:t>
            </w:r>
          </w:p>
        </w:tc>
        <w:tc>
          <w:tcPr>
            <w:tcW w:w="876" w:type="dxa"/>
            <w:noWrap w:val="0"/>
            <w:vAlign w:val="center"/>
          </w:tcPr>
          <w:p>
            <w:pPr>
              <w:adjustRightInd w:val="0"/>
              <w:snapToGrid w:val="0"/>
              <w:spacing w:line="300" w:lineRule="auto"/>
              <w:jc w:val="center"/>
              <w:rPr>
                <w:rFonts w:ascii="Times New Roman" w:hAnsi="Times New Roman"/>
                <w:b/>
                <w:snapToGrid w:val="0"/>
                <w:kern w:val="0"/>
                <w:szCs w:val="24"/>
              </w:rPr>
            </w:pPr>
            <w:r>
              <w:rPr>
                <w:rFonts w:ascii="Times New Roman" w:hAnsi="Times New Roman" w:hint="eastAsia"/>
                <w:b/>
                <w:snapToGrid w:val="0"/>
                <w:kern w:val="0"/>
                <w:szCs w:val="24"/>
              </w:rPr>
              <w:t>数量</w:t>
            </w:r>
          </w:p>
        </w:tc>
        <w:tc>
          <w:tcPr>
            <w:tcW w:w="909" w:type="dxa"/>
            <w:noWrap w:val="0"/>
            <w:vAlign w:val="center"/>
          </w:tcPr>
          <w:p>
            <w:pPr>
              <w:adjustRightInd w:val="0"/>
              <w:snapToGrid w:val="0"/>
              <w:spacing w:line="300" w:lineRule="auto"/>
              <w:jc w:val="center"/>
              <w:rPr>
                <w:rFonts w:ascii="Times New Roman" w:hAnsi="Times New Roman"/>
                <w:b/>
                <w:snapToGrid w:val="0"/>
                <w:kern w:val="0"/>
                <w:szCs w:val="24"/>
              </w:rPr>
            </w:pPr>
            <w:r>
              <w:rPr>
                <w:rFonts w:ascii="Times New Roman" w:hAnsi="Times New Roman" w:hint="eastAsia"/>
                <w:b/>
                <w:snapToGrid w:val="0"/>
                <w:kern w:val="0"/>
                <w:szCs w:val="24"/>
              </w:rPr>
              <w:t>单位</w:t>
            </w:r>
          </w:p>
        </w:tc>
        <w:tc>
          <w:tcPr>
            <w:tcW w:w="1643" w:type="dxa"/>
            <w:noWrap w:val="0"/>
            <w:vAlign w:val="center"/>
          </w:tcPr>
          <w:p>
            <w:pPr>
              <w:adjustRightInd w:val="0"/>
              <w:snapToGrid w:val="0"/>
              <w:spacing w:line="300" w:lineRule="auto"/>
              <w:jc w:val="center"/>
              <w:rPr>
                <w:rFonts w:ascii="Times New Roman" w:hAnsi="Times New Roman"/>
                <w:b/>
                <w:snapToGrid w:val="0"/>
                <w:kern w:val="0"/>
                <w:szCs w:val="24"/>
              </w:rPr>
            </w:pPr>
            <w:r>
              <w:rPr>
                <w:rFonts w:ascii="Times New Roman" w:hAnsi="Times New Roman" w:hint="eastAsia"/>
                <w:b/>
                <w:snapToGrid w:val="0"/>
                <w:kern w:val="0"/>
                <w:szCs w:val="24"/>
              </w:rPr>
              <w:t>单价（单位：元）</w:t>
            </w:r>
          </w:p>
        </w:tc>
        <w:tc>
          <w:tcPr>
            <w:tcW w:w="1701" w:type="dxa"/>
            <w:noWrap w:val="0"/>
            <w:vAlign w:val="center"/>
          </w:tcPr>
          <w:p>
            <w:pPr>
              <w:adjustRightInd w:val="0"/>
              <w:snapToGrid w:val="0"/>
              <w:spacing w:line="300" w:lineRule="auto"/>
              <w:jc w:val="center"/>
              <w:rPr>
                <w:rFonts w:ascii="Times New Roman" w:hAnsi="Times New Roman"/>
                <w:b/>
                <w:snapToGrid w:val="0"/>
                <w:kern w:val="0"/>
                <w:szCs w:val="24"/>
              </w:rPr>
            </w:pPr>
            <w:r>
              <w:rPr>
                <w:rFonts w:ascii="Times New Roman" w:hAnsi="Times New Roman" w:hint="eastAsia"/>
                <w:b/>
                <w:snapToGrid w:val="0"/>
                <w:kern w:val="0"/>
                <w:szCs w:val="24"/>
              </w:rPr>
              <w:t>总价（单位：元）</w:t>
            </w:r>
          </w:p>
        </w:tc>
        <w:tc>
          <w:tcPr>
            <w:tcW w:w="1125" w:type="dxa"/>
            <w:noWrap w:val="0"/>
            <w:vAlign w:val="center"/>
          </w:tcPr>
          <w:p>
            <w:pPr>
              <w:adjustRightInd w:val="0"/>
              <w:snapToGrid w:val="0"/>
              <w:spacing w:line="300" w:lineRule="auto"/>
              <w:jc w:val="center"/>
              <w:rPr>
                <w:rFonts w:ascii="Times New Roman" w:hAnsi="Times New Roman"/>
                <w:b/>
                <w:snapToGrid w:val="0"/>
                <w:kern w:val="0"/>
                <w:szCs w:val="24"/>
              </w:rPr>
            </w:pPr>
            <w:r>
              <w:rPr>
                <w:rFonts w:ascii="Times New Roman" w:hAnsi="Times New Roman" w:hint="eastAsia"/>
                <w:b/>
                <w:snapToGrid w:val="0"/>
                <w:kern w:val="0"/>
                <w:szCs w:val="24"/>
              </w:rPr>
              <w:t>备注</w:t>
            </w:r>
          </w:p>
        </w:tc>
      </w:tr>
      <w:tr>
        <w:tblPrEx>
          <w:tblW w:w="0" w:type="auto"/>
          <w:jc w:val="center"/>
          <w:tblLayout w:type="fixed"/>
          <w:tblCellMar>
            <w:top w:w="0" w:type="dxa"/>
            <w:left w:w="108" w:type="dxa"/>
            <w:bottom w:w="0" w:type="dxa"/>
            <w:right w:w="108" w:type="dxa"/>
          </w:tblCellMar>
        </w:tblPrEx>
        <w:trPr>
          <w:cantSplit/>
          <w:trHeight w:val="427"/>
          <w:jc w:val="center"/>
        </w:trPr>
        <w:tc>
          <w:tcPr>
            <w:tcW w:w="828" w:type="dxa"/>
            <w:noWrap w:val="0"/>
            <w:vAlign w:val="center"/>
          </w:tcPr>
          <w:p>
            <w:pPr>
              <w:adjustRightInd w:val="0"/>
              <w:snapToGrid w:val="0"/>
              <w:spacing w:line="300" w:lineRule="auto"/>
              <w:jc w:val="center"/>
              <w:rPr>
                <w:rFonts w:ascii="宋体" w:eastAsia="宋体" w:hAnsi="宋体"/>
                <w:snapToGrid w:val="0"/>
                <w:kern w:val="0"/>
                <w:szCs w:val="24"/>
              </w:rPr>
            </w:pPr>
            <w:r>
              <w:rPr>
                <w:rFonts w:ascii="宋体" w:eastAsia="宋体" w:hAnsi="宋体"/>
                <w:snapToGrid w:val="0"/>
                <w:kern w:val="0"/>
                <w:szCs w:val="24"/>
              </w:rPr>
              <w:t>1</w:t>
            </w:r>
          </w:p>
        </w:tc>
        <w:tc>
          <w:tcPr>
            <w:tcW w:w="2485" w:type="dxa"/>
            <w:noWrap w:val="0"/>
            <w:vAlign w:val="center"/>
          </w:tcPr>
          <w:p>
            <w:pPr>
              <w:adjustRightInd w:val="0"/>
              <w:snapToGrid w:val="0"/>
              <w:spacing w:line="300" w:lineRule="auto"/>
              <w:jc w:val="center"/>
              <w:rPr>
                <w:rFonts w:ascii="宋体" w:hAnsi="宋体"/>
                <w:szCs w:val="21"/>
                <w:lang w:val="zh-CN"/>
              </w:rPr>
            </w:pPr>
          </w:p>
        </w:tc>
        <w:tc>
          <w:tcPr>
            <w:tcW w:w="876" w:type="dxa"/>
            <w:noWrap w:val="0"/>
            <w:vAlign w:val="center"/>
          </w:tcPr>
          <w:p>
            <w:pPr>
              <w:adjustRightInd w:val="0"/>
              <w:snapToGrid w:val="0"/>
              <w:spacing w:line="300" w:lineRule="auto"/>
              <w:jc w:val="center"/>
              <w:rPr>
                <w:rFonts w:ascii="Times New Roman" w:hAnsi="Times New Roman"/>
                <w:snapToGrid w:val="0"/>
                <w:kern w:val="0"/>
                <w:szCs w:val="24"/>
              </w:rPr>
            </w:pPr>
          </w:p>
        </w:tc>
        <w:tc>
          <w:tcPr>
            <w:tcW w:w="909" w:type="dxa"/>
            <w:noWrap w:val="0"/>
            <w:vAlign w:val="center"/>
          </w:tcPr>
          <w:p>
            <w:pPr>
              <w:adjustRightInd w:val="0"/>
              <w:snapToGrid w:val="0"/>
              <w:spacing w:line="300" w:lineRule="auto"/>
              <w:jc w:val="center"/>
              <w:rPr>
                <w:rFonts w:ascii="Times New Roman" w:hAnsi="Times New Roman"/>
                <w:snapToGrid w:val="0"/>
                <w:kern w:val="0"/>
                <w:szCs w:val="24"/>
              </w:rPr>
            </w:pPr>
          </w:p>
        </w:tc>
        <w:tc>
          <w:tcPr>
            <w:tcW w:w="1643" w:type="dxa"/>
            <w:noWrap w:val="0"/>
            <w:vAlign w:val="center"/>
          </w:tcPr>
          <w:p>
            <w:pPr>
              <w:adjustRightInd w:val="0"/>
              <w:snapToGrid w:val="0"/>
              <w:spacing w:line="300" w:lineRule="auto"/>
              <w:jc w:val="center"/>
              <w:rPr>
                <w:rFonts w:ascii="Times New Roman" w:hAnsi="Times New Roman"/>
                <w:snapToGrid w:val="0"/>
                <w:kern w:val="0"/>
                <w:szCs w:val="24"/>
              </w:rPr>
            </w:pPr>
          </w:p>
        </w:tc>
        <w:tc>
          <w:tcPr>
            <w:tcW w:w="1701" w:type="dxa"/>
            <w:noWrap w:val="0"/>
            <w:vAlign w:val="center"/>
          </w:tcPr>
          <w:p>
            <w:pPr>
              <w:adjustRightInd w:val="0"/>
              <w:snapToGrid w:val="0"/>
              <w:spacing w:line="300" w:lineRule="auto"/>
              <w:jc w:val="center"/>
              <w:rPr>
                <w:rFonts w:ascii="Times New Roman" w:hAnsi="Times New Roman"/>
                <w:snapToGrid w:val="0"/>
                <w:kern w:val="0"/>
                <w:szCs w:val="24"/>
              </w:rPr>
            </w:pPr>
          </w:p>
        </w:tc>
        <w:tc>
          <w:tcPr>
            <w:tcW w:w="1125" w:type="dxa"/>
            <w:noWrap w:val="0"/>
            <w:vAlign w:val="center"/>
          </w:tcPr>
          <w:p>
            <w:pPr>
              <w:adjustRightInd w:val="0"/>
              <w:snapToGrid w:val="0"/>
              <w:spacing w:line="300" w:lineRule="auto"/>
              <w:jc w:val="center"/>
              <w:rPr>
                <w:rFonts w:ascii="Times New Roman" w:hAnsi="Times New Roman"/>
                <w:snapToGrid w:val="0"/>
                <w:kern w:val="0"/>
                <w:szCs w:val="24"/>
              </w:rPr>
            </w:pPr>
          </w:p>
        </w:tc>
      </w:tr>
      <w:tr>
        <w:tblPrEx>
          <w:tblW w:w="0" w:type="auto"/>
          <w:jc w:val="center"/>
          <w:tblLayout w:type="fixed"/>
          <w:tblCellMar>
            <w:top w:w="0" w:type="dxa"/>
            <w:left w:w="108" w:type="dxa"/>
            <w:bottom w:w="0" w:type="dxa"/>
            <w:right w:w="108" w:type="dxa"/>
          </w:tblCellMar>
        </w:tblPrEx>
        <w:trPr>
          <w:cantSplit/>
          <w:trHeight w:val="427"/>
          <w:jc w:val="center"/>
        </w:trPr>
        <w:tc>
          <w:tcPr>
            <w:tcW w:w="828" w:type="dxa"/>
            <w:noWrap w:val="0"/>
            <w:vAlign w:val="center"/>
          </w:tcPr>
          <w:p>
            <w:pPr>
              <w:adjustRightInd w:val="0"/>
              <w:snapToGrid w:val="0"/>
              <w:spacing w:line="300" w:lineRule="auto"/>
              <w:jc w:val="center"/>
              <w:rPr>
                <w:rFonts w:ascii="宋体" w:eastAsia="宋体" w:hAnsi="宋体"/>
                <w:snapToGrid w:val="0"/>
                <w:kern w:val="0"/>
                <w:szCs w:val="24"/>
              </w:rPr>
            </w:pPr>
            <w:r>
              <w:rPr>
                <w:rFonts w:ascii="宋体" w:eastAsia="宋体" w:hAnsi="宋体"/>
                <w:snapToGrid w:val="0"/>
                <w:kern w:val="0"/>
                <w:szCs w:val="24"/>
              </w:rPr>
              <w:t>2</w:t>
            </w:r>
          </w:p>
        </w:tc>
        <w:tc>
          <w:tcPr>
            <w:tcW w:w="2485" w:type="dxa"/>
            <w:noWrap w:val="0"/>
            <w:vAlign w:val="center"/>
          </w:tcPr>
          <w:p>
            <w:pPr>
              <w:adjustRightInd w:val="0"/>
              <w:snapToGrid w:val="0"/>
              <w:spacing w:line="300" w:lineRule="auto"/>
              <w:jc w:val="center"/>
              <w:rPr>
                <w:rFonts w:ascii="宋体" w:hAnsi="宋体"/>
                <w:szCs w:val="21"/>
                <w:lang w:val="zh-CN"/>
              </w:rPr>
            </w:pPr>
          </w:p>
        </w:tc>
        <w:tc>
          <w:tcPr>
            <w:tcW w:w="876" w:type="dxa"/>
            <w:noWrap w:val="0"/>
            <w:vAlign w:val="center"/>
          </w:tcPr>
          <w:p>
            <w:pPr>
              <w:adjustRightInd w:val="0"/>
              <w:snapToGrid w:val="0"/>
              <w:spacing w:line="300" w:lineRule="auto"/>
              <w:jc w:val="center"/>
              <w:rPr>
                <w:rFonts w:ascii="Times New Roman" w:hAnsi="Times New Roman"/>
                <w:snapToGrid w:val="0"/>
                <w:kern w:val="0"/>
                <w:szCs w:val="24"/>
              </w:rPr>
            </w:pPr>
          </w:p>
        </w:tc>
        <w:tc>
          <w:tcPr>
            <w:tcW w:w="909" w:type="dxa"/>
            <w:noWrap w:val="0"/>
            <w:vAlign w:val="center"/>
          </w:tcPr>
          <w:p>
            <w:pPr>
              <w:adjustRightInd w:val="0"/>
              <w:snapToGrid w:val="0"/>
              <w:spacing w:line="300" w:lineRule="auto"/>
              <w:jc w:val="center"/>
              <w:rPr>
                <w:rFonts w:ascii="Times New Roman" w:hAnsi="Times New Roman"/>
                <w:snapToGrid w:val="0"/>
                <w:kern w:val="0"/>
                <w:szCs w:val="24"/>
              </w:rPr>
            </w:pPr>
          </w:p>
        </w:tc>
        <w:tc>
          <w:tcPr>
            <w:tcW w:w="1643" w:type="dxa"/>
            <w:noWrap w:val="0"/>
            <w:vAlign w:val="center"/>
          </w:tcPr>
          <w:p>
            <w:pPr>
              <w:adjustRightInd w:val="0"/>
              <w:snapToGrid w:val="0"/>
              <w:spacing w:line="300" w:lineRule="auto"/>
              <w:jc w:val="center"/>
              <w:rPr>
                <w:rFonts w:ascii="Times New Roman" w:hAnsi="Times New Roman"/>
                <w:snapToGrid w:val="0"/>
                <w:kern w:val="0"/>
                <w:szCs w:val="24"/>
              </w:rPr>
            </w:pPr>
          </w:p>
        </w:tc>
        <w:tc>
          <w:tcPr>
            <w:tcW w:w="1701" w:type="dxa"/>
            <w:noWrap w:val="0"/>
            <w:vAlign w:val="center"/>
          </w:tcPr>
          <w:p>
            <w:pPr>
              <w:adjustRightInd w:val="0"/>
              <w:snapToGrid w:val="0"/>
              <w:spacing w:line="300" w:lineRule="auto"/>
              <w:jc w:val="center"/>
              <w:rPr>
                <w:rFonts w:ascii="Times New Roman" w:hAnsi="Times New Roman"/>
                <w:snapToGrid w:val="0"/>
                <w:kern w:val="0"/>
                <w:szCs w:val="24"/>
              </w:rPr>
            </w:pPr>
          </w:p>
        </w:tc>
        <w:tc>
          <w:tcPr>
            <w:tcW w:w="1125" w:type="dxa"/>
            <w:noWrap w:val="0"/>
            <w:vAlign w:val="center"/>
          </w:tcPr>
          <w:p>
            <w:pPr>
              <w:adjustRightInd w:val="0"/>
              <w:snapToGrid w:val="0"/>
              <w:spacing w:line="300" w:lineRule="auto"/>
              <w:jc w:val="center"/>
              <w:rPr>
                <w:rFonts w:ascii="Times New Roman" w:hAnsi="Times New Roman"/>
                <w:snapToGrid w:val="0"/>
                <w:kern w:val="0"/>
                <w:szCs w:val="24"/>
              </w:rPr>
            </w:pPr>
          </w:p>
        </w:tc>
      </w:tr>
      <w:tr>
        <w:tblPrEx>
          <w:tblW w:w="0" w:type="auto"/>
          <w:jc w:val="center"/>
          <w:tblLayout w:type="fixed"/>
          <w:tblCellMar>
            <w:top w:w="0" w:type="dxa"/>
            <w:left w:w="108" w:type="dxa"/>
            <w:bottom w:w="0" w:type="dxa"/>
            <w:right w:w="108" w:type="dxa"/>
          </w:tblCellMar>
        </w:tblPrEx>
        <w:trPr>
          <w:cantSplit/>
          <w:trHeight w:val="427"/>
          <w:jc w:val="center"/>
        </w:trPr>
        <w:tc>
          <w:tcPr>
            <w:tcW w:w="828" w:type="dxa"/>
            <w:noWrap w:val="0"/>
            <w:vAlign w:val="center"/>
          </w:tcPr>
          <w:p>
            <w:pPr>
              <w:adjustRightInd w:val="0"/>
              <w:snapToGrid w:val="0"/>
              <w:spacing w:line="300" w:lineRule="auto"/>
              <w:jc w:val="center"/>
              <w:rPr>
                <w:rFonts w:ascii="宋体" w:eastAsia="宋体" w:hAnsi="宋体"/>
                <w:snapToGrid w:val="0"/>
                <w:kern w:val="0"/>
                <w:szCs w:val="24"/>
              </w:rPr>
            </w:pPr>
            <w:r>
              <w:rPr>
                <w:rFonts w:ascii="宋体" w:eastAsia="宋体" w:hAnsi="宋体"/>
                <w:snapToGrid w:val="0"/>
                <w:kern w:val="0"/>
                <w:szCs w:val="24"/>
              </w:rPr>
              <w:t xml:space="preserve">3 </w:t>
            </w:r>
          </w:p>
        </w:tc>
        <w:tc>
          <w:tcPr>
            <w:tcW w:w="2485" w:type="dxa"/>
            <w:noWrap w:val="0"/>
            <w:vAlign w:val="center"/>
          </w:tcPr>
          <w:p>
            <w:pPr>
              <w:adjustRightInd w:val="0"/>
              <w:snapToGrid w:val="0"/>
              <w:spacing w:line="300" w:lineRule="auto"/>
              <w:jc w:val="center"/>
              <w:rPr>
                <w:rFonts w:ascii="宋体" w:hAnsi="宋体"/>
                <w:szCs w:val="21"/>
                <w:lang w:val="zh-CN"/>
              </w:rPr>
            </w:pPr>
          </w:p>
        </w:tc>
        <w:tc>
          <w:tcPr>
            <w:tcW w:w="876" w:type="dxa"/>
            <w:noWrap w:val="0"/>
            <w:vAlign w:val="center"/>
          </w:tcPr>
          <w:p>
            <w:pPr>
              <w:adjustRightInd w:val="0"/>
              <w:snapToGrid w:val="0"/>
              <w:spacing w:line="300" w:lineRule="auto"/>
              <w:jc w:val="center"/>
              <w:rPr>
                <w:rFonts w:ascii="Times New Roman" w:hAnsi="Times New Roman"/>
                <w:snapToGrid w:val="0"/>
                <w:kern w:val="0"/>
                <w:szCs w:val="24"/>
              </w:rPr>
            </w:pPr>
          </w:p>
        </w:tc>
        <w:tc>
          <w:tcPr>
            <w:tcW w:w="909" w:type="dxa"/>
            <w:noWrap w:val="0"/>
            <w:vAlign w:val="center"/>
          </w:tcPr>
          <w:p>
            <w:pPr>
              <w:adjustRightInd w:val="0"/>
              <w:snapToGrid w:val="0"/>
              <w:spacing w:line="300" w:lineRule="auto"/>
              <w:jc w:val="center"/>
              <w:rPr>
                <w:rFonts w:ascii="Times New Roman" w:hAnsi="Times New Roman"/>
                <w:snapToGrid w:val="0"/>
                <w:kern w:val="0"/>
                <w:szCs w:val="24"/>
              </w:rPr>
            </w:pPr>
          </w:p>
        </w:tc>
        <w:tc>
          <w:tcPr>
            <w:tcW w:w="1643" w:type="dxa"/>
            <w:noWrap w:val="0"/>
            <w:vAlign w:val="center"/>
          </w:tcPr>
          <w:p>
            <w:pPr>
              <w:adjustRightInd w:val="0"/>
              <w:snapToGrid w:val="0"/>
              <w:spacing w:line="300" w:lineRule="auto"/>
              <w:jc w:val="center"/>
              <w:rPr>
                <w:rFonts w:ascii="Times New Roman" w:hAnsi="Times New Roman"/>
                <w:snapToGrid w:val="0"/>
                <w:kern w:val="0"/>
                <w:szCs w:val="24"/>
              </w:rPr>
            </w:pPr>
          </w:p>
        </w:tc>
        <w:tc>
          <w:tcPr>
            <w:tcW w:w="1701" w:type="dxa"/>
            <w:noWrap w:val="0"/>
            <w:vAlign w:val="center"/>
          </w:tcPr>
          <w:p>
            <w:pPr>
              <w:adjustRightInd w:val="0"/>
              <w:snapToGrid w:val="0"/>
              <w:spacing w:line="300" w:lineRule="auto"/>
              <w:jc w:val="center"/>
              <w:rPr>
                <w:rFonts w:ascii="Times New Roman" w:hAnsi="Times New Roman"/>
                <w:snapToGrid w:val="0"/>
                <w:kern w:val="0"/>
                <w:szCs w:val="24"/>
              </w:rPr>
            </w:pPr>
          </w:p>
        </w:tc>
        <w:tc>
          <w:tcPr>
            <w:tcW w:w="1125" w:type="dxa"/>
            <w:noWrap w:val="0"/>
            <w:vAlign w:val="center"/>
          </w:tcPr>
          <w:p>
            <w:pPr>
              <w:adjustRightInd w:val="0"/>
              <w:snapToGrid w:val="0"/>
              <w:spacing w:line="300" w:lineRule="auto"/>
              <w:jc w:val="center"/>
              <w:rPr>
                <w:rFonts w:ascii="Times New Roman" w:hAnsi="Times New Roman"/>
                <w:snapToGrid w:val="0"/>
                <w:kern w:val="0"/>
                <w:szCs w:val="24"/>
              </w:rPr>
            </w:pPr>
          </w:p>
        </w:tc>
      </w:tr>
      <w:tr>
        <w:tblPrEx>
          <w:tblW w:w="0" w:type="auto"/>
          <w:jc w:val="center"/>
          <w:tblLayout w:type="fixed"/>
          <w:tblCellMar>
            <w:top w:w="0" w:type="dxa"/>
            <w:left w:w="108" w:type="dxa"/>
            <w:bottom w:w="0" w:type="dxa"/>
            <w:right w:w="108" w:type="dxa"/>
          </w:tblCellMar>
        </w:tblPrEx>
        <w:trPr>
          <w:cantSplit/>
          <w:trHeight w:val="427"/>
          <w:jc w:val="center"/>
        </w:trPr>
        <w:tc>
          <w:tcPr>
            <w:tcW w:w="828" w:type="dxa"/>
            <w:noWrap w:val="0"/>
            <w:vAlign w:val="center"/>
          </w:tcPr>
          <w:p>
            <w:pPr>
              <w:adjustRightInd w:val="0"/>
              <w:snapToGrid w:val="0"/>
              <w:spacing w:line="300" w:lineRule="auto"/>
              <w:jc w:val="center"/>
              <w:rPr>
                <w:rFonts w:ascii="宋体" w:eastAsia="宋体" w:hAnsi="宋体"/>
                <w:snapToGrid w:val="0"/>
                <w:kern w:val="0"/>
                <w:szCs w:val="24"/>
              </w:rPr>
            </w:pPr>
            <w:r>
              <w:rPr>
                <w:rFonts w:ascii="宋体" w:eastAsia="宋体" w:hAnsi="宋体"/>
                <w:snapToGrid w:val="0"/>
                <w:kern w:val="0"/>
                <w:szCs w:val="24"/>
              </w:rPr>
              <w:t>4</w:t>
            </w:r>
          </w:p>
        </w:tc>
        <w:tc>
          <w:tcPr>
            <w:tcW w:w="2485" w:type="dxa"/>
            <w:noWrap w:val="0"/>
            <w:vAlign w:val="center"/>
          </w:tcPr>
          <w:p>
            <w:pPr>
              <w:adjustRightInd w:val="0"/>
              <w:snapToGrid w:val="0"/>
              <w:spacing w:line="300" w:lineRule="auto"/>
              <w:jc w:val="center"/>
              <w:rPr>
                <w:rFonts w:ascii="宋体" w:hAnsi="宋体"/>
                <w:szCs w:val="21"/>
                <w:lang w:val="zh-CN"/>
              </w:rPr>
            </w:pPr>
          </w:p>
        </w:tc>
        <w:tc>
          <w:tcPr>
            <w:tcW w:w="876" w:type="dxa"/>
            <w:noWrap w:val="0"/>
            <w:vAlign w:val="center"/>
          </w:tcPr>
          <w:p>
            <w:pPr>
              <w:adjustRightInd w:val="0"/>
              <w:snapToGrid w:val="0"/>
              <w:spacing w:line="300" w:lineRule="auto"/>
              <w:jc w:val="center"/>
              <w:rPr>
                <w:rFonts w:ascii="Times New Roman" w:hAnsi="Times New Roman"/>
                <w:snapToGrid w:val="0"/>
                <w:kern w:val="0"/>
                <w:szCs w:val="24"/>
              </w:rPr>
            </w:pPr>
          </w:p>
        </w:tc>
        <w:tc>
          <w:tcPr>
            <w:tcW w:w="909" w:type="dxa"/>
            <w:noWrap w:val="0"/>
            <w:vAlign w:val="center"/>
          </w:tcPr>
          <w:p>
            <w:pPr>
              <w:adjustRightInd w:val="0"/>
              <w:snapToGrid w:val="0"/>
              <w:spacing w:line="300" w:lineRule="auto"/>
              <w:jc w:val="center"/>
              <w:rPr>
                <w:rFonts w:ascii="Times New Roman" w:hAnsi="Times New Roman"/>
                <w:snapToGrid w:val="0"/>
                <w:kern w:val="0"/>
                <w:szCs w:val="24"/>
              </w:rPr>
            </w:pPr>
          </w:p>
        </w:tc>
        <w:tc>
          <w:tcPr>
            <w:tcW w:w="1643" w:type="dxa"/>
            <w:noWrap w:val="0"/>
            <w:vAlign w:val="center"/>
          </w:tcPr>
          <w:p>
            <w:pPr>
              <w:adjustRightInd w:val="0"/>
              <w:snapToGrid w:val="0"/>
              <w:spacing w:line="300" w:lineRule="auto"/>
              <w:jc w:val="center"/>
              <w:rPr>
                <w:rFonts w:ascii="Times New Roman" w:hAnsi="Times New Roman"/>
                <w:snapToGrid w:val="0"/>
                <w:kern w:val="0"/>
                <w:szCs w:val="24"/>
              </w:rPr>
            </w:pPr>
          </w:p>
        </w:tc>
        <w:tc>
          <w:tcPr>
            <w:tcW w:w="1701" w:type="dxa"/>
            <w:noWrap w:val="0"/>
            <w:vAlign w:val="center"/>
          </w:tcPr>
          <w:p>
            <w:pPr>
              <w:adjustRightInd w:val="0"/>
              <w:snapToGrid w:val="0"/>
              <w:spacing w:line="300" w:lineRule="auto"/>
              <w:jc w:val="center"/>
              <w:rPr>
                <w:rFonts w:ascii="Times New Roman" w:hAnsi="Times New Roman"/>
                <w:snapToGrid w:val="0"/>
                <w:kern w:val="0"/>
                <w:szCs w:val="24"/>
              </w:rPr>
            </w:pPr>
          </w:p>
        </w:tc>
        <w:tc>
          <w:tcPr>
            <w:tcW w:w="1125" w:type="dxa"/>
            <w:noWrap w:val="0"/>
            <w:vAlign w:val="center"/>
          </w:tcPr>
          <w:p>
            <w:pPr>
              <w:adjustRightInd w:val="0"/>
              <w:snapToGrid w:val="0"/>
              <w:spacing w:line="300" w:lineRule="auto"/>
              <w:jc w:val="center"/>
              <w:rPr>
                <w:rFonts w:ascii="Times New Roman" w:hAnsi="Times New Roman"/>
                <w:snapToGrid w:val="0"/>
                <w:kern w:val="0"/>
                <w:szCs w:val="24"/>
              </w:rPr>
            </w:pPr>
          </w:p>
        </w:tc>
      </w:tr>
      <w:tr>
        <w:tblPrEx>
          <w:tblW w:w="0" w:type="auto"/>
          <w:jc w:val="center"/>
          <w:tblLayout w:type="fixed"/>
          <w:tblCellMar>
            <w:top w:w="0" w:type="dxa"/>
            <w:left w:w="108" w:type="dxa"/>
            <w:bottom w:w="0" w:type="dxa"/>
            <w:right w:w="108" w:type="dxa"/>
          </w:tblCellMar>
        </w:tblPrEx>
        <w:trPr>
          <w:cantSplit/>
          <w:trHeight w:val="427"/>
          <w:jc w:val="center"/>
        </w:trPr>
        <w:tc>
          <w:tcPr>
            <w:tcW w:w="828" w:type="dxa"/>
            <w:tcBorders>
              <w:bottom w:val="single" w:sz="4" w:space="0" w:color="auto"/>
            </w:tcBorders>
            <w:noWrap w:val="0"/>
            <w:vAlign w:val="center"/>
          </w:tcPr>
          <w:p>
            <w:pPr>
              <w:adjustRightInd w:val="0"/>
              <w:snapToGrid w:val="0"/>
              <w:spacing w:line="300" w:lineRule="auto"/>
              <w:jc w:val="center"/>
              <w:rPr>
                <w:rFonts w:ascii="宋体" w:eastAsia="宋体" w:hAnsi="宋体"/>
                <w:snapToGrid w:val="0"/>
                <w:kern w:val="0"/>
                <w:szCs w:val="24"/>
              </w:rPr>
            </w:pPr>
            <w:r>
              <w:rPr>
                <w:rFonts w:ascii="宋体" w:eastAsia="宋体" w:hAnsi="宋体"/>
                <w:snapToGrid w:val="0"/>
                <w:kern w:val="0"/>
                <w:szCs w:val="24"/>
              </w:rPr>
              <w:t>5</w:t>
            </w:r>
          </w:p>
        </w:tc>
        <w:tc>
          <w:tcPr>
            <w:tcW w:w="2485" w:type="dxa"/>
            <w:tcBorders>
              <w:bottom w:val="single" w:sz="4" w:space="0" w:color="auto"/>
            </w:tcBorders>
            <w:noWrap w:val="0"/>
            <w:vAlign w:val="center"/>
          </w:tcPr>
          <w:p>
            <w:pPr>
              <w:adjustRightInd w:val="0"/>
              <w:snapToGrid w:val="0"/>
              <w:spacing w:line="300" w:lineRule="auto"/>
              <w:jc w:val="center"/>
              <w:rPr>
                <w:rFonts w:ascii="宋体" w:hAnsi="宋体"/>
                <w:szCs w:val="21"/>
                <w:lang w:val="zh-CN"/>
              </w:rPr>
            </w:pPr>
          </w:p>
        </w:tc>
        <w:tc>
          <w:tcPr>
            <w:tcW w:w="876" w:type="dxa"/>
            <w:tcBorders>
              <w:bottom w:val="single" w:sz="4" w:space="0" w:color="auto"/>
            </w:tcBorders>
            <w:noWrap w:val="0"/>
            <w:vAlign w:val="center"/>
          </w:tcPr>
          <w:p>
            <w:pPr>
              <w:adjustRightInd w:val="0"/>
              <w:snapToGrid w:val="0"/>
              <w:spacing w:line="300" w:lineRule="auto"/>
              <w:jc w:val="center"/>
              <w:rPr>
                <w:rFonts w:ascii="Times New Roman" w:hAnsi="Times New Roman"/>
                <w:snapToGrid w:val="0"/>
                <w:kern w:val="0"/>
                <w:szCs w:val="24"/>
              </w:rPr>
            </w:pPr>
          </w:p>
        </w:tc>
        <w:tc>
          <w:tcPr>
            <w:tcW w:w="909" w:type="dxa"/>
            <w:tcBorders>
              <w:bottom w:val="single" w:sz="4" w:space="0" w:color="auto"/>
            </w:tcBorders>
            <w:noWrap w:val="0"/>
            <w:vAlign w:val="center"/>
          </w:tcPr>
          <w:p>
            <w:pPr>
              <w:adjustRightInd w:val="0"/>
              <w:snapToGrid w:val="0"/>
              <w:spacing w:line="300" w:lineRule="auto"/>
              <w:jc w:val="center"/>
              <w:rPr>
                <w:rFonts w:ascii="Times New Roman" w:hAnsi="Times New Roman"/>
                <w:snapToGrid w:val="0"/>
                <w:kern w:val="0"/>
                <w:szCs w:val="24"/>
              </w:rPr>
            </w:pPr>
          </w:p>
        </w:tc>
        <w:tc>
          <w:tcPr>
            <w:tcW w:w="1643" w:type="dxa"/>
            <w:tcBorders>
              <w:bottom w:val="single" w:sz="4" w:space="0" w:color="auto"/>
            </w:tcBorders>
            <w:noWrap w:val="0"/>
            <w:vAlign w:val="center"/>
          </w:tcPr>
          <w:p>
            <w:pPr>
              <w:adjustRightInd w:val="0"/>
              <w:snapToGrid w:val="0"/>
              <w:spacing w:line="300" w:lineRule="auto"/>
              <w:jc w:val="center"/>
              <w:rPr>
                <w:rFonts w:ascii="Times New Roman" w:hAnsi="Times New Roman"/>
                <w:snapToGrid w:val="0"/>
                <w:kern w:val="0"/>
                <w:szCs w:val="24"/>
              </w:rPr>
            </w:pPr>
          </w:p>
        </w:tc>
        <w:tc>
          <w:tcPr>
            <w:tcW w:w="1701" w:type="dxa"/>
            <w:tcBorders>
              <w:bottom w:val="single" w:sz="4" w:space="0" w:color="auto"/>
            </w:tcBorders>
            <w:noWrap w:val="0"/>
            <w:vAlign w:val="center"/>
          </w:tcPr>
          <w:p>
            <w:pPr>
              <w:adjustRightInd w:val="0"/>
              <w:snapToGrid w:val="0"/>
              <w:spacing w:line="300" w:lineRule="auto"/>
              <w:jc w:val="center"/>
              <w:rPr>
                <w:rFonts w:ascii="Times New Roman" w:hAnsi="Times New Roman"/>
                <w:snapToGrid w:val="0"/>
                <w:kern w:val="0"/>
                <w:szCs w:val="24"/>
              </w:rPr>
            </w:pPr>
          </w:p>
        </w:tc>
        <w:tc>
          <w:tcPr>
            <w:tcW w:w="1125" w:type="dxa"/>
            <w:tcBorders>
              <w:bottom w:val="single" w:sz="4" w:space="0" w:color="auto"/>
            </w:tcBorders>
            <w:noWrap w:val="0"/>
            <w:vAlign w:val="center"/>
          </w:tcPr>
          <w:p>
            <w:pPr>
              <w:adjustRightInd w:val="0"/>
              <w:snapToGrid w:val="0"/>
              <w:spacing w:line="300" w:lineRule="auto"/>
              <w:jc w:val="center"/>
              <w:rPr>
                <w:rFonts w:ascii="Times New Roman" w:hAnsi="Times New Roman"/>
                <w:snapToGrid w:val="0"/>
                <w:kern w:val="0"/>
                <w:szCs w:val="24"/>
              </w:rPr>
            </w:pPr>
          </w:p>
        </w:tc>
      </w:tr>
      <w:tr>
        <w:tblPrEx>
          <w:tblW w:w="0" w:type="auto"/>
          <w:jc w:val="center"/>
          <w:tblLayout w:type="fixed"/>
          <w:tblCellMar>
            <w:top w:w="0" w:type="dxa"/>
            <w:left w:w="108" w:type="dxa"/>
            <w:bottom w:w="0" w:type="dxa"/>
            <w:right w:w="108" w:type="dxa"/>
          </w:tblCellMar>
        </w:tblPrEx>
        <w:trPr>
          <w:cantSplit/>
          <w:trHeight w:val="427"/>
          <w:jc w:val="center"/>
        </w:trPr>
        <w:tc>
          <w:tcPr>
            <w:tcW w:w="828" w:type="dxa"/>
            <w:tcBorders>
              <w:top w:val="single" w:sz="4" w:space="0" w:color="auto"/>
              <w:bottom w:val="single" w:sz="4" w:space="0" w:color="auto"/>
            </w:tcBorders>
            <w:noWrap w:val="0"/>
            <w:vAlign w:val="center"/>
          </w:tcPr>
          <w:p>
            <w:pPr>
              <w:adjustRightInd w:val="0"/>
              <w:snapToGrid w:val="0"/>
              <w:spacing w:line="300" w:lineRule="auto"/>
              <w:jc w:val="center"/>
              <w:rPr>
                <w:rFonts w:ascii="宋体" w:eastAsia="宋体" w:hAnsi="宋体"/>
                <w:snapToGrid w:val="0"/>
                <w:kern w:val="0"/>
                <w:szCs w:val="24"/>
              </w:rPr>
            </w:pPr>
            <w:r>
              <w:rPr>
                <w:rFonts w:ascii="宋体" w:eastAsia="宋体" w:hAnsi="宋体"/>
                <w:snapToGrid w:val="0"/>
                <w:kern w:val="0"/>
                <w:szCs w:val="24"/>
              </w:rPr>
              <w:t>6</w:t>
            </w:r>
          </w:p>
        </w:tc>
        <w:tc>
          <w:tcPr>
            <w:tcW w:w="2485" w:type="dxa"/>
            <w:tcBorders>
              <w:top w:val="single" w:sz="4" w:space="0" w:color="auto"/>
              <w:bottom w:val="single" w:sz="4" w:space="0" w:color="auto"/>
            </w:tcBorders>
            <w:noWrap w:val="0"/>
            <w:vAlign w:val="center"/>
          </w:tcPr>
          <w:p>
            <w:pPr>
              <w:adjustRightInd w:val="0"/>
              <w:snapToGrid w:val="0"/>
              <w:spacing w:line="300" w:lineRule="auto"/>
              <w:jc w:val="center"/>
              <w:rPr>
                <w:rFonts w:ascii="宋体" w:hAnsi="宋体"/>
                <w:szCs w:val="21"/>
                <w:lang w:val="zh-CN"/>
              </w:rPr>
            </w:pPr>
          </w:p>
        </w:tc>
        <w:tc>
          <w:tcPr>
            <w:tcW w:w="876" w:type="dxa"/>
            <w:tcBorders>
              <w:top w:val="single" w:sz="4" w:space="0" w:color="auto"/>
              <w:bottom w:val="single" w:sz="4" w:space="0" w:color="auto"/>
            </w:tcBorders>
            <w:noWrap w:val="0"/>
            <w:vAlign w:val="center"/>
          </w:tcPr>
          <w:p>
            <w:pPr>
              <w:adjustRightInd w:val="0"/>
              <w:snapToGrid w:val="0"/>
              <w:spacing w:line="300" w:lineRule="auto"/>
              <w:jc w:val="center"/>
              <w:rPr>
                <w:rFonts w:ascii="Times New Roman" w:hAnsi="Times New Roman"/>
                <w:snapToGrid w:val="0"/>
                <w:kern w:val="0"/>
                <w:szCs w:val="24"/>
              </w:rPr>
            </w:pPr>
          </w:p>
        </w:tc>
        <w:tc>
          <w:tcPr>
            <w:tcW w:w="909" w:type="dxa"/>
            <w:tcBorders>
              <w:top w:val="single" w:sz="4" w:space="0" w:color="auto"/>
              <w:bottom w:val="single" w:sz="4" w:space="0" w:color="auto"/>
            </w:tcBorders>
            <w:noWrap w:val="0"/>
            <w:vAlign w:val="center"/>
          </w:tcPr>
          <w:p>
            <w:pPr>
              <w:adjustRightInd w:val="0"/>
              <w:snapToGrid w:val="0"/>
              <w:spacing w:line="300" w:lineRule="auto"/>
              <w:jc w:val="center"/>
              <w:rPr>
                <w:rFonts w:ascii="Times New Roman" w:hAnsi="Times New Roman"/>
                <w:snapToGrid w:val="0"/>
                <w:kern w:val="0"/>
                <w:szCs w:val="24"/>
              </w:rPr>
            </w:pPr>
          </w:p>
        </w:tc>
        <w:tc>
          <w:tcPr>
            <w:tcW w:w="1643" w:type="dxa"/>
            <w:tcBorders>
              <w:top w:val="single" w:sz="4" w:space="0" w:color="auto"/>
              <w:bottom w:val="single" w:sz="4" w:space="0" w:color="auto"/>
            </w:tcBorders>
            <w:noWrap w:val="0"/>
            <w:vAlign w:val="center"/>
          </w:tcPr>
          <w:p>
            <w:pPr>
              <w:adjustRightInd w:val="0"/>
              <w:snapToGrid w:val="0"/>
              <w:spacing w:line="300" w:lineRule="auto"/>
              <w:jc w:val="center"/>
              <w:rPr>
                <w:rFonts w:ascii="Times New Roman" w:hAnsi="Times New Roman"/>
                <w:snapToGrid w:val="0"/>
                <w:kern w:val="0"/>
                <w:szCs w:val="24"/>
              </w:rPr>
            </w:pPr>
          </w:p>
        </w:tc>
        <w:tc>
          <w:tcPr>
            <w:tcW w:w="1701" w:type="dxa"/>
            <w:tcBorders>
              <w:top w:val="single" w:sz="4" w:space="0" w:color="auto"/>
              <w:bottom w:val="single" w:sz="4" w:space="0" w:color="auto"/>
            </w:tcBorders>
            <w:noWrap w:val="0"/>
            <w:vAlign w:val="center"/>
          </w:tcPr>
          <w:p>
            <w:pPr>
              <w:adjustRightInd w:val="0"/>
              <w:snapToGrid w:val="0"/>
              <w:spacing w:line="300" w:lineRule="auto"/>
              <w:jc w:val="center"/>
              <w:rPr>
                <w:rFonts w:ascii="Times New Roman" w:hAnsi="Times New Roman"/>
                <w:snapToGrid w:val="0"/>
                <w:kern w:val="0"/>
                <w:szCs w:val="24"/>
              </w:rPr>
            </w:pPr>
          </w:p>
        </w:tc>
        <w:tc>
          <w:tcPr>
            <w:tcW w:w="1125" w:type="dxa"/>
            <w:tcBorders>
              <w:bottom w:val="single" w:sz="4" w:space="0" w:color="auto"/>
            </w:tcBorders>
            <w:noWrap w:val="0"/>
            <w:vAlign w:val="center"/>
          </w:tcPr>
          <w:p>
            <w:pPr>
              <w:adjustRightInd w:val="0"/>
              <w:snapToGrid w:val="0"/>
              <w:spacing w:line="300" w:lineRule="auto"/>
              <w:jc w:val="center"/>
              <w:rPr>
                <w:rFonts w:ascii="Times New Roman" w:hAnsi="Times New Roman"/>
                <w:snapToGrid w:val="0"/>
                <w:kern w:val="0"/>
                <w:szCs w:val="24"/>
              </w:rPr>
            </w:pPr>
          </w:p>
        </w:tc>
      </w:tr>
      <w:tr>
        <w:tblPrEx>
          <w:tblW w:w="0" w:type="auto"/>
          <w:jc w:val="center"/>
          <w:tblLayout w:type="fixed"/>
          <w:tblCellMar>
            <w:top w:w="0" w:type="dxa"/>
            <w:left w:w="108" w:type="dxa"/>
            <w:bottom w:w="0" w:type="dxa"/>
            <w:right w:w="108" w:type="dxa"/>
          </w:tblCellMar>
        </w:tblPrEx>
        <w:trPr>
          <w:cantSplit/>
          <w:trHeight w:val="427"/>
          <w:jc w:val="center"/>
        </w:trPr>
        <w:tc>
          <w:tcPr>
            <w:tcW w:w="828" w:type="dxa"/>
            <w:tcBorders>
              <w:top w:val="single" w:sz="4" w:space="0" w:color="auto"/>
              <w:bottom w:val="single" w:sz="4" w:space="0" w:color="auto"/>
            </w:tcBorders>
            <w:noWrap w:val="0"/>
            <w:vAlign w:val="center"/>
          </w:tcPr>
          <w:p>
            <w:pPr>
              <w:adjustRightInd w:val="0"/>
              <w:snapToGrid w:val="0"/>
              <w:spacing w:line="300" w:lineRule="auto"/>
              <w:jc w:val="center"/>
              <w:rPr>
                <w:rFonts w:ascii="宋体" w:eastAsia="宋体" w:hAnsi="宋体"/>
                <w:snapToGrid w:val="0"/>
                <w:kern w:val="0"/>
                <w:szCs w:val="24"/>
              </w:rPr>
            </w:pPr>
            <w:r>
              <w:rPr>
                <w:rFonts w:ascii="宋体" w:eastAsia="宋体" w:hAnsi="宋体"/>
                <w:snapToGrid w:val="0"/>
                <w:kern w:val="0"/>
                <w:szCs w:val="24"/>
              </w:rPr>
              <w:t>7</w:t>
            </w:r>
          </w:p>
        </w:tc>
        <w:tc>
          <w:tcPr>
            <w:tcW w:w="2485" w:type="dxa"/>
            <w:tcBorders>
              <w:top w:val="single" w:sz="4" w:space="0" w:color="auto"/>
              <w:bottom w:val="single" w:sz="4" w:space="0" w:color="auto"/>
            </w:tcBorders>
            <w:noWrap w:val="0"/>
            <w:vAlign w:val="center"/>
          </w:tcPr>
          <w:p>
            <w:pPr>
              <w:adjustRightInd w:val="0"/>
              <w:snapToGrid w:val="0"/>
              <w:spacing w:line="300" w:lineRule="auto"/>
              <w:jc w:val="center"/>
              <w:rPr>
                <w:rFonts w:ascii="宋体" w:hAnsi="宋体"/>
                <w:szCs w:val="21"/>
                <w:lang w:val="zh-CN"/>
              </w:rPr>
            </w:pPr>
          </w:p>
        </w:tc>
        <w:tc>
          <w:tcPr>
            <w:tcW w:w="876" w:type="dxa"/>
            <w:tcBorders>
              <w:top w:val="single" w:sz="4" w:space="0" w:color="auto"/>
              <w:bottom w:val="single" w:sz="4" w:space="0" w:color="auto"/>
            </w:tcBorders>
            <w:noWrap w:val="0"/>
            <w:vAlign w:val="center"/>
          </w:tcPr>
          <w:p>
            <w:pPr>
              <w:adjustRightInd w:val="0"/>
              <w:snapToGrid w:val="0"/>
              <w:spacing w:line="300" w:lineRule="auto"/>
              <w:jc w:val="center"/>
              <w:rPr>
                <w:rFonts w:ascii="Times New Roman" w:hAnsi="Times New Roman"/>
                <w:snapToGrid w:val="0"/>
                <w:kern w:val="0"/>
                <w:szCs w:val="24"/>
              </w:rPr>
            </w:pPr>
          </w:p>
        </w:tc>
        <w:tc>
          <w:tcPr>
            <w:tcW w:w="909" w:type="dxa"/>
            <w:tcBorders>
              <w:top w:val="single" w:sz="4" w:space="0" w:color="auto"/>
              <w:bottom w:val="single" w:sz="4" w:space="0" w:color="auto"/>
            </w:tcBorders>
            <w:noWrap w:val="0"/>
            <w:vAlign w:val="center"/>
          </w:tcPr>
          <w:p>
            <w:pPr>
              <w:adjustRightInd w:val="0"/>
              <w:snapToGrid w:val="0"/>
              <w:spacing w:line="300" w:lineRule="auto"/>
              <w:jc w:val="center"/>
              <w:rPr>
                <w:rFonts w:ascii="Times New Roman" w:hAnsi="Times New Roman"/>
                <w:snapToGrid w:val="0"/>
                <w:kern w:val="0"/>
                <w:szCs w:val="24"/>
              </w:rPr>
            </w:pPr>
          </w:p>
        </w:tc>
        <w:tc>
          <w:tcPr>
            <w:tcW w:w="1643" w:type="dxa"/>
            <w:tcBorders>
              <w:top w:val="single" w:sz="4" w:space="0" w:color="auto"/>
              <w:bottom w:val="single" w:sz="4" w:space="0" w:color="auto"/>
            </w:tcBorders>
            <w:noWrap w:val="0"/>
            <w:vAlign w:val="center"/>
          </w:tcPr>
          <w:p>
            <w:pPr>
              <w:adjustRightInd w:val="0"/>
              <w:snapToGrid w:val="0"/>
              <w:spacing w:line="300" w:lineRule="auto"/>
              <w:jc w:val="center"/>
              <w:rPr>
                <w:rFonts w:ascii="Times New Roman" w:hAnsi="Times New Roman"/>
                <w:snapToGrid w:val="0"/>
                <w:kern w:val="0"/>
                <w:szCs w:val="24"/>
              </w:rPr>
            </w:pPr>
          </w:p>
        </w:tc>
        <w:tc>
          <w:tcPr>
            <w:tcW w:w="1701" w:type="dxa"/>
            <w:tcBorders>
              <w:top w:val="single" w:sz="4" w:space="0" w:color="auto"/>
              <w:bottom w:val="single" w:sz="4" w:space="0" w:color="auto"/>
            </w:tcBorders>
            <w:noWrap w:val="0"/>
            <w:vAlign w:val="center"/>
          </w:tcPr>
          <w:p>
            <w:pPr>
              <w:adjustRightInd w:val="0"/>
              <w:snapToGrid w:val="0"/>
              <w:spacing w:line="300" w:lineRule="auto"/>
              <w:jc w:val="center"/>
              <w:rPr>
                <w:rFonts w:ascii="Times New Roman" w:hAnsi="Times New Roman"/>
                <w:snapToGrid w:val="0"/>
                <w:kern w:val="0"/>
                <w:szCs w:val="24"/>
              </w:rPr>
            </w:pPr>
          </w:p>
        </w:tc>
        <w:tc>
          <w:tcPr>
            <w:tcW w:w="1125" w:type="dxa"/>
            <w:tcBorders>
              <w:bottom w:val="single" w:sz="4" w:space="0" w:color="auto"/>
            </w:tcBorders>
            <w:noWrap w:val="0"/>
            <w:vAlign w:val="center"/>
          </w:tcPr>
          <w:p>
            <w:pPr>
              <w:adjustRightInd w:val="0"/>
              <w:snapToGrid w:val="0"/>
              <w:spacing w:line="300" w:lineRule="auto"/>
              <w:jc w:val="center"/>
              <w:rPr>
                <w:rFonts w:ascii="Times New Roman" w:hAnsi="Times New Roman"/>
                <w:snapToGrid w:val="0"/>
                <w:kern w:val="0"/>
                <w:szCs w:val="24"/>
              </w:rPr>
            </w:pPr>
          </w:p>
        </w:tc>
      </w:tr>
      <w:tr>
        <w:tblPrEx>
          <w:tblW w:w="0" w:type="auto"/>
          <w:jc w:val="center"/>
          <w:tblLayout w:type="fixed"/>
          <w:tblCellMar>
            <w:top w:w="0" w:type="dxa"/>
            <w:left w:w="108" w:type="dxa"/>
            <w:bottom w:w="0" w:type="dxa"/>
            <w:right w:w="108" w:type="dxa"/>
          </w:tblCellMar>
        </w:tblPrEx>
        <w:trPr>
          <w:cantSplit/>
          <w:trHeight w:val="424"/>
          <w:jc w:val="center"/>
        </w:trPr>
        <w:tc>
          <w:tcPr>
            <w:tcW w:w="6741" w:type="dxa"/>
            <w:gridSpan w:val="5"/>
            <w:tcBorders>
              <w:top w:val="single" w:sz="4" w:space="0" w:color="auto"/>
            </w:tcBorders>
            <w:noWrap w:val="0"/>
            <w:vAlign w:val="center"/>
          </w:tcPr>
          <w:p>
            <w:pPr>
              <w:adjustRightInd w:val="0"/>
              <w:snapToGrid w:val="0"/>
              <w:spacing w:line="300" w:lineRule="auto"/>
              <w:jc w:val="center"/>
              <w:rPr>
                <w:rFonts w:ascii="Times New Roman" w:hAnsi="Times New Roman"/>
                <w:snapToGrid w:val="0"/>
                <w:kern w:val="0"/>
                <w:szCs w:val="24"/>
              </w:rPr>
            </w:pPr>
            <w:r>
              <w:rPr>
                <w:rFonts w:ascii="Times New Roman" w:hAnsi="Times New Roman" w:hint="eastAsia"/>
                <w:snapToGrid w:val="0"/>
                <w:kern w:val="0"/>
                <w:szCs w:val="24"/>
              </w:rPr>
              <w:t>合</w:t>
            </w:r>
            <w:r>
              <w:rPr>
                <w:rFonts w:ascii="Times New Roman" w:hAnsi="Times New Roman"/>
                <w:snapToGrid w:val="0"/>
                <w:kern w:val="0"/>
                <w:szCs w:val="24"/>
              </w:rPr>
              <w:t xml:space="preserve">   </w:t>
            </w:r>
            <w:r>
              <w:rPr>
                <w:rFonts w:ascii="Times New Roman" w:hAnsi="Times New Roman" w:hint="eastAsia"/>
                <w:snapToGrid w:val="0"/>
                <w:kern w:val="0"/>
                <w:szCs w:val="24"/>
              </w:rPr>
              <w:t>计（即投标总价，单位：元）</w:t>
            </w:r>
          </w:p>
        </w:tc>
        <w:tc>
          <w:tcPr>
            <w:tcW w:w="1701" w:type="dxa"/>
            <w:tcBorders>
              <w:top w:val="single" w:sz="4" w:space="0" w:color="auto"/>
            </w:tcBorders>
            <w:noWrap w:val="0"/>
            <w:vAlign w:val="center"/>
          </w:tcPr>
          <w:p>
            <w:pPr>
              <w:adjustRightInd w:val="0"/>
              <w:snapToGrid w:val="0"/>
              <w:spacing w:line="300" w:lineRule="auto"/>
              <w:jc w:val="center"/>
              <w:rPr>
                <w:rFonts w:ascii="Times New Roman" w:hAnsi="Times New Roman"/>
                <w:snapToGrid w:val="0"/>
                <w:kern w:val="0"/>
                <w:szCs w:val="24"/>
              </w:rPr>
            </w:pPr>
          </w:p>
        </w:tc>
        <w:tc>
          <w:tcPr>
            <w:tcW w:w="1125" w:type="dxa"/>
            <w:tcBorders>
              <w:top w:val="single" w:sz="4" w:space="0" w:color="auto"/>
            </w:tcBorders>
            <w:noWrap w:val="0"/>
            <w:vAlign w:val="center"/>
          </w:tcPr>
          <w:p>
            <w:pPr>
              <w:adjustRightInd w:val="0"/>
              <w:snapToGrid w:val="0"/>
              <w:spacing w:line="300" w:lineRule="auto"/>
              <w:jc w:val="center"/>
              <w:rPr>
                <w:rFonts w:ascii="Times New Roman" w:hAnsi="Times New Roman"/>
                <w:snapToGrid w:val="0"/>
                <w:kern w:val="0"/>
                <w:szCs w:val="24"/>
              </w:rPr>
            </w:pPr>
          </w:p>
        </w:tc>
      </w:tr>
    </w:tbl>
    <w:p>
      <w:pPr>
        <w:keepNext/>
        <w:keepLines/>
        <w:tabs>
          <w:tab w:val="left" w:pos="765"/>
        </w:tabs>
        <w:spacing w:line="376" w:lineRule="auto"/>
        <w:outlineLvl w:val="3"/>
        <w:rPr>
          <w:rFonts w:ascii="宋体" w:eastAsia="宋体" w:hAnsi="宋体"/>
          <w:bCs/>
          <w:kern w:val="0"/>
          <w:szCs w:val="21"/>
        </w:rPr>
      </w:pPr>
      <w:r>
        <w:rPr>
          <w:rFonts w:ascii="宋体" w:eastAsia="宋体" w:hAnsi="宋体" w:hint="eastAsia"/>
          <w:bCs/>
          <w:kern w:val="0"/>
          <w:szCs w:val="21"/>
        </w:rPr>
        <w:t>注：1、本表格仅为指导性范本，供应商可根据项目具体情况对各分项内容进行调整。</w:t>
      </w:r>
    </w:p>
    <w:p>
      <w:pPr>
        <w:keepNext/>
        <w:keepLines/>
        <w:tabs>
          <w:tab w:val="left" w:pos="765"/>
        </w:tabs>
        <w:spacing w:line="376" w:lineRule="auto"/>
        <w:outlineLvl w:val="3"/>
        <w:rPr>
          <w:rFonts w:ascii="宋体" w:eastAsia="宋体" w:hAnsi="宋体"/>
          <w:bCs/>
          <w:kern w:val="0"/>
          <w:szCs w:val="21"/>
        </w:rPr>
      </w:pPr>
      <w:r>
        <w:rPr>
          <w:rFonts w:ascii="宋体" w:eastAsia="宋体" w:hAnsi="宋体" w:hint="eastAsia"/>
          <w:bCs/>
          <w:kern w:val="0"/>
          <w:szCs w:val="21"/>
        </w:rPr>
        <w:t>2、投标总价应为以上各分项价格之和。</w:t>
      </w:r>
    </w:p>
    <w:p>
      <w:pPr>
        <w:keepNext/>
        <w:keepLines/>
        <w:tabs>
          <w:tab w:val="left" w:pos="765"/>
        </w:tabs>
        <w:spacing w:line="376" w:lineRule="auto"/>
        <w:outlineLvl w:val="3"/>
        <w:rPr>
          <w:rFonts w:ascii="宋体" w:eastAsia="宋体" w:hAnsi="宋体"/>
          <w:bCs/>
          <w:kern w:val="0"/>
          <w:szCs w:val="21"/>
        </w:rPr>
      </w:pPr>
      <w:r>
        <w:rPr>
          <w:rFonts w:ascii="宋体" w:eastAsia="宋体" w:hAnsi="宋体" w:hint="eastAsia"/>
          <w:bCs/>
          <w:kern w:val="0"/>
          <w:szCs w:val="21"/>
        </w:rPr>
        <w:t>3、开标一览表的投标总价必须与以上分项报价清单的投标总价一致。</w:t>
      </w:r>
    </w:p>
    <w:p>
      <w:pPr>
        <w:keepNext/>
        <w:keepLines/>
        <w:tabs>
          <w:tab w:val="left" w:pos="765"/>
        </w:tabs>
        <w:spacing w:line="376" w:lineRule="auto"/>
        <w:outlineLvl w:val="3"/>
        <w:rPr>
          <w:rFonts w:ascii="宋体" w:eastAsia="宋体" w:hAnsi="宋体"/>
          <w:bCs/>
          <w:kern w:val="0"/>
          <w:szCs w:val="21"/>
        </w:rPr>
      </w:pPr>
      <w:r>
        <w:rPr>
          <w:rFonts w:ascii="宋体" w:eastAsia="宋体" w:hAnsi="宋体" w:hint="eastAsia"/>
          <w:bCs/>
          <w:kern w:val="0"/>
          <w:szCs w:val="21"/>
        </w:rPr>
        <w:t>4、</w:t>
      </w:r>
      <w:r>
        <w:rPr>
          <w:rFonts w:ascii="宋体" w:hAnsi="宋体" w:hint="eastAsia"/>
          <w:szCs w:val="21"/>
        </w:rPr>
        <w:t>根据《中华人民共和国财政部令第87号-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keepLines/>
        <w:tabs>
          <w:tab w:val="left" w:pos="765"/>
        </w:tabs>
        <w:spacing w:line="376" w:lineRule="auto"/>
        <w:outlineLvl w:val="3"/>
        <w:rPr>
          <w:rFonts w:ascii="宋体" w:eastAsia="宋体" w:hAnsi="宋体"/>
          <w:bCs/>
          <w:kern w:val="0"/>
          <w:szCs w:val="21"/>
        </w:rPr>
      </w:pPr>
    </w:p>
    <w:p>
      <w:pPr>
        <w:spacing w:after="156" w:afterLines="50"/>
        <w:jc w:val="center"/>
        <w:rPr>
          <w:rFonts w:ascii="黑体" w:eastAsia="黑体" w:hAnsi="宋体"/>
          <w:bCs/>
          <w:kern w:val="0"/>
          <w:sz w:val="24"/>
          <w:szCs w:val="24"/>
        </w:rPr>
      </w:pPr>
      <w:r>
        <w:rPr>
          <w:rFonts w:ascii="黑体" w:eastAsia="黑体" w:hAnsi="宋体" w:hint="eastAsia"/>
          <w:bCs/>
          <w:kern w:val="0"/>
          <w:sz w:val="24"/>
          <w:szCs w:val="24"/>
          <w:lang w:val="en-US" w:eastAsia="zh-CN"/>
        </w:rPr>
        <w:t>六</w:t>
      </w:r>
      <w:r>
        <w:rPr>
          <w:rFonts w:ascii="黑体" w:eastAsia="黑体" w:hAnsi="宋体" w:hint="eastAsia"/>
          <w:bCs/>
          <w:kern w:val="0"/>
          <w:sz w:val="24"/>
          <w:szCs w:val="24"/>
        </w:rPr>
        <w:t>、服务要求偏离表</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1"/>
        <w:gridCol w:w="2551"/>
        <w:gridCol w:w="1985"/>
        <w:gridCol w:w="1276"/>
        <w:gridCol w:w="2551"/>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1"/>
        </w:trPr>
        <w:tc>
          <w:tcPr>
            <w:tcW w:w="851" w:type="dxa"/>
            <w:noWrap w:val="0"/>
            <w:vAlign w:val="center"/>
          </w:tcPr>
          <w:p>
            <w:pPr>
              <w:jc w:val="center"/>
              <w:rPr>
                <w:rFonts w:ascii="宋体" w:hAnsi="宋体"/>
                <w:szCs w:val="21"/>
              </w:rPr>
            </w:pPr>
            <w:r>
              <w:rPr>
                <w:rFonts w:ascii="宋体" w:hAnsi="宋体" w:hint="eastAsia"/>
                <w:szCs w:val="21"/>
              </w:rPr>
              <w:t>序号</w:t>
            </w:r>
          </w:p>
        </w:tc>
        <w:tc>
          <w:tcPr>
            <w:tcW w:w="2551" w:type="dxa"/>
            <w:noWrap w:val="0"/>
            <w:vAlign w:val="center"/>
          </w:tcPr>
          <w:p>
            <w:pPr>
              <w:jc w:val="center"/>
              <w:rPr>
                <w:rFonts w:ascii="宋体" w:hAnsi="宋体"/>
                <w:szCs w:val="21"/>
              </w:rPr>
            </w:pPr>
            <w:r>
              <w:rPr>
                <w:rFonts w:ascii="宋体" w:hAnsi="宋体" w:hint="eastAsia"/>
                <w:szCs w:val="21"/>
              </w:rPr>
              <w:t>招标文件服务要求</w:t>
            </w:r>
          </w:p>
        </w:tc>
        <w:tc>
          <w:tcPr>
            <w:tcW w:w="1985" w:type="dxa"/>
            <w:noWrap w:val="0"/>
            <w:vAlign w:val="center"/>
          </w:tcPr>
          <w:p>
            <w:pPr>
              <w:jc w:val="center"/>
              <w:rPr>
                <w:rFonts w:ascii="宋体" w:hAnsi="宋体"/>
                <w:szCs w:val="21"/>
              </w:rPr>
            </w:pPr>
            <w:r>
              <w:rPr>
                <w:rFonts w:ascii="宋体" w:hAnsi="宋体" w:hint="eastAsia"/>
                <w:szCs w:val="21"/>
              </w:rPr>
              <w:t>投标文件服务响应</w:t>
            </w:r>
          </w:p>
        </w:tc>
        <w:tc>
          <w:tcPr>
            <w:tcW w:w="1276" w:type="dxa"/>
            <w:noWrap w:val="0"/>
            <w:vAlign w:val="center"/>
          </w:tcPr>
          <w:p>
            <w:pPr>
              <w:jc w:val="center"/>
              <w:rPr>
                <w:rFonts w:ascii="宋体" w:hAnsi="宋体"/>
                <w:szCs w:val="21"/>
              </w:rPr>
            </w:pPr>
            <w:r>
              <w:rPr>
                <w:rFonts w:ascii="宋体" w:hAnsi="宋体" w:hint="eastAsia"/>
                <w:szCs w:val="21"/>
              </w:rPr>
              <w:t>偏离情况</w:t>
            </w:r>
          </w:p>
        </w:tc>
        <w:tc>
          <w:tcPr>
            <w:tcW w:w="2551" w:type="dxa"/>
            <w:noWrap w:val="0"/>
            <w:vAlign w:val="center"/>
          </w:tcPr>
          <w:p>
            <w:pPr>
              <w:jc w:val="center"/>
              <w:rPr>
                <w:rFonts w:ascii="宋体" w:hAnsi="宋体"/>
                <w:szCs w:val="21"/>
              </w:rPr>
            </w:pPr>
            <w:r>
              <w:rPr>
                <w:rFonts w:ascii="宋体" w:hAnsi="宋体" w:hint="eastAsia"/>
                <w:szCs w:val="21"/>
              </w:rPr>
              <w:t>说明</w:t>
            </w:r>
          </w:p>
        </w:tc>
      </w:tr>
      <w:tr>
        <w:tblPrEx>
          <w:tblW w:w="0" w:type="auto"/>
          <w:tblInd w:w="108" w:type="dxa"/>
          <w:tblLayout w:type="fixed"/>
          <w:tblCellMar>
            <w:top w:w="0" w:type="dxa"/>
            <w:left w:w="108" w:type="dxa"/>
            <w:bottom w:w="0" w:type="dxa"/>
            <w:right w:w="108" w:type="dxa"/>
          </w:tblCellMar>
        </w:tblPrEx>
        <w:trPr>
          <w:trHeight w:val="262"/>
        </w:trPr>
        <w:tc>
          <w:tcPr>
            <w:tcW w:w="851" w:type="dxa"/>
            <w:noWrap w:val="0"/>
            <w:vAlign w:val="top"/>
          </w:tcPr>
          <w:p>
            <w:pPr>
              <w:rPr>
                <w:sz w:val="24"/>
              </w:rPr>
            </w:pPr>
          </w:p>
        </w:tc>
        <w:tc>
          <w:tcPr>
            <w:tcW w:w="2551" w:type="dxa"/>
            <w:noWrap w:val="0"/>
            <w:vAlign w:val="top"/>
          </w:tcPr>
          <w:p>
            <w:pPr>
              <w:rPr>
                <w:sz w:val="24"/>
              </w:rPr>
            </w:pPr>
          </w:p>
        </w:tc>
        <w:tc>
          <w:tcPr>
            <w:tcW w:w="1985" w:type="dxa"/>
            <w:noWrap w:val="0"/>
            <w:vAlign w:val="top"/>
          </w:tcPr>
          <w:p>
            <w:pPr>
              <w:rPr>
                <w:sz w:val="24"/>
              </w:rPr>
            </w:pPr>
          </w:p>
        </w:tc>
        <w:tc>
          <w:tcPr>
            <w:tcW w:w="1276" w:type="dxa"/>
            <w:noWrap w:val="0"/>
            <w:vAlign w:val="top"/>
          </w:tcPr>
          <w:p>
            <w:pPr>
              <w:rPr>
                <w:sz w:val="24"/>
              </w:rPr>
            </w:pPr>
          </w:p>
        </w:tc>
        <w:tc>
          <w:tcPr>
            <w:tcW w:w="2551" w:type="dxa"/>
            <w:noWrap w:val="0"/>
            <w:vAlign w:val="top"/>
          </w:tcPr>
          <w:p>
            <w:pPr>
              <w:rPr>
                <w:szCs w:val="21"/>
              </w:rPr>
            </w:pPr>
            <w:r>
              <w:rPr>
                <w:rFonts w:hint="eastAsia"/>
                <w:szCs w:val="21"/>
              </w:rPr>
              <w:t>如需附证明文件，应在“说明”栏填写证明文件对应名称和页码。</w:t>
            </w:r>
          </w:p>
        </w:tc>
      </w:tr>
      <w:tr>
        <w:tblPrEx>
          <w:tblW w:w="0" w:type="auto"/>
          <w:tblInd w:w="108" w:type="dxa"/>
          <w:tblLayout w:type="fixed"/>
          <w:tblCellMar>
            <w:top w:w="0" w:type="dxa"/>
            <w:left w:w="108" w:type="dxa"/>
            <w:bottom w:w="0" w:type="dxa"/>
            <w:right w:w="108" w:type="dxa"/>
          </w:tblCellMar>
        </w:tblPrEx>
        <w:trPr>
          <w:trHeight w:val="262"/>
        </w:trPr>
        <w:tc>
          <w:tcPr>
            <w:tcW w:w="851" w:type="dxa"/>
            <w:noWrap w:val="0"/>
            <w:vAlign w:val="top"/>
          </w:tcPr>
          <w:p>
            <w:pPr>
              <w:rPr>
                <w:sz w:val="24"/>
              </w:rPr>
            </w:pPr>
          </w:p>
        </w:tc>
        <w:tc>
          <w:tcPr>
            <w:tcW w:w="2551" w:type="dxa"/>
            <w:noWrap w:val="0"/>
            <w:vAlign w:val="top"/>
          </w:tcPr>
          <w:p>
            <w:pPr>
              <w:rPr>
                <w:sz w:val="24"/>
              </w:rPr>
            </w:pPr>
          </w:p>
        </w:tc>
        <w:tc>
          <w:tcPr>
            <w:tcW w:w="1985" w:type="dxa"/>
            <w:noWrap w:val="0"/>
            <w:vAlign w:val="top"/>
          </w:tcPr>
          <w:p>
            <w:pPr>
              <w:rPr>
                <w:sz w:val="24"/>
              </w:rPr>
            </w:pPr>
          </w:p>
        </w:tc>
        <w:tc>
          <w:tcPr>
            <w:tcW w:w="1276" w:type="dxa"/>
            <w:noWrap w:val="0"/>
            <w:vAlign w:val="top"/>
          </w:tcPr>
          <w:p>
            <w:pPr>
              <w:rPr>
                <w:sz w:val="24"/>
              </w:rPr>
            </w:pPr>
          </w:p>
        </w:tc>
        <w:tc>
          <w:tcPr>
            <w:tcW w:w="2551" w:type="dxa"/>
            <w:noWrap w:val="0"/>
            <w:vAlign w:val="top"/>
          </w:tcPr>
          <w:p>
            <w:pPr>
              <w:rPr>
                <w:sz w:val="24"/>
              </w:rPr>
            </w:pPr>
          </w:p>
        </w:tc>
      </w:tr>
    </w:tbl>
    <w:p>
      <w:pPr>
        <w:keepNext/>
        <w:keepLines/>
        <w:tabs>
          <w:tab w:val="left" w:pos="765"/>
        </w:tabs>
        <w:spacing w:line="376" w:lineRule="auto"/>
        <w:outlineLvl w:val="3"/>
        <w:rPr>
          <w:rFonts w:ascii="宋体" w:eastAsia="宋体" w:hAnsi="宋体"/>
          <w:bCs/>
          <w:kern w:val="0"/>
          <w:szCs w:val="21"/>
        </w:rPr>
      </w:pPr>
      <w:r>
        <w:rPr>
          <w:rFonts w:ascii="宋体" w:eastAsia="宋体" w:hAnsi="宋体" w:hint="eastAsia"/>
          <w:bCs/>
          <w:kern w:val="0"/>
          <w:szCs w:val="21"/>
        </w:rPr>
        <w:t>备注：</w:t>
      </w:r>
    </w:p>
    <w:p>
      <w:pPr>
        <w:keepNext/>
        <w:keepLines/>
        <w:tabs>
          <w:tab w:val="left" w:pos="765"/>
        </w:tabs>
        <w:spacing w:line="376" w:lineRule="auto"/>
        <w:outlineLvl w:val="3"/>
        <w:rPr>
          <w:rFonts w:ascii="宋体" w:eastAsia="宋体" w:hAnsi="宋体"/>
          <w:bCs/>
          <w:kern w:val="0"/>
          <w:szCs w:val="21"/>
        </w:rPr>
      </w:pPr>
      <w:r>
        <w:rPr>
          <w:rFonts w:ascii="宋体" w:eastAsia="宋体" w:hAnsi="宋体"/>
          <w:bCs/>
          <w:kern w:val="0"/>
          <w:szCs w:val="21"/>
        </w:rPr>
        <w:t>1</w:t>
      </w:r>
      <w:r>
        <w:rPr>
          <w:rFonts w:ascii="宋体" w:eastAsia="宋体" w:hAnsi="宋体" w:hint="eastAsia"/>
          <w:bCs/>
          <w:kern w:val="0"/>
          <w:szCs w:val="21"/>
        </w:rPr>
        <w:t>、</w:t>
      </w:r>
      <w:r>
        <w:rPr>
          <w:rFonts w:ascii="宋体" w:eastAsia="宋体" w:hAnsi="宋体"/>
          <w:bCs/>
          <w:kern w:val="0"/>
          <w:szCs w:val="21"/>
        </w:rPr>
        <w:t>“招标文件服务要求”一栏填写招标文件第二章“招标项目需求”</w:t>
      </w:r>
      <w:r>
        <w:rPr>
          <w:rFonts w:ascii="宋体" w:eastAsia="宋体" w:hAnsi="宋体"/>
          <w:b/>
          <w:bCs/>
          <w:kern w:val="0"/>
          <w:szCs w:val="21"/>
          <w:highlight w:val="yellow"/>
        </w:rPr>
        <w:t>“</w:t>
      </w:r>
      <w:r>
        <w:rPr>
          <w:rFonts w:ascii="宋体" w:eastAsia="宋体" w:hAnsi="宋体" w:hint="eastAsia"/>
          <w:b/>
          <w:bCs/>
          <w:kern w:val="0"/>
          <w:szCs w:val="21"/>
          <w:highlight w:val="yellow"/>
        </w:rPr>
        <w:t>四、项目</w:t>
      </w:r>
      <w:r>
        <w:rPr>
          <w:rFonts w:ascii="宋体" w:eastAsia="宋体" w:hAnsi="宋体"/>
          <w:b/>
          <w:bCs/>
          <w:kern w:val="0"/>
          <w:szCs w:val="21"/>
          <w:highlight w:val="yellow"/>
        </w:rPr>
        <w:t>服务</w:t>
      </w:r>
      <w:r>
        <w:rPr>
          <w:rFonts w:ascii="宋体" w:eastAsia="宋体" w:hAnsi="宋体" w:hint="eastAsia"/>
          <w:b/>
          <w:bCs/>
          <w:kern w:val="0"/>
          <w:szCs w:val="21"/>
          <w:highlight w:val="yellow"/>
        </w:rPr>
        <w:t>要求</w:t>
      </w:r>
      <w:r>
        <w:rPr>
          <w:rFonts w:ascii="宋体" w:eastAsia="宋体" w:hAnsi="宋体"/>
          <w:b/>
          <w:bCs/>
          <w:kern w:val="0"/>
          <w:szCs w:val="21"/>
          <w:highlight w:val="yellow"/>
        </w:rPr>
        <w:t>”</w:t>
      </w:r>
      <w:r>
        <w:rPr>
          <w:rFonts w:ascii="宋体" w:eastAsia="宋体" w:hAnsi="宋体"/>
          <w:bCs/>
          <w:kern w:val="0"/>
          <w:szCs w:val="21"/>
        </w:rPr>
        <w:t>的内容。</w:t>
      </w:r>
    </w:p>
    <w:p>
      <w:pPr>
        <w:keepNext/>
        <w:keepLines/>
        <w:tabs>
          <w:tab w:val="left" w:pos="765"/>
        </w:tabs>
        <w:spacing w:line="376" w:lineRule="auto"/>
        <w:outlineLvl w:val="3"/>
        <w:rPr>
          <w:rFonts w:ascii="宋体" w:eastAsia="宋体" w:hAnsi="宋体"/>
          <w:bCs/>
          <w:kern w:val="0"/>
          <w:szCs w:val="21"/>
        </w:rPr>
      </w:pPr>
      <w:r>
        <w:rPr>
          <w:rFonts w:ascii="宋体" w:eastAsia="宋体" w:hAnsi="宋体"/>
          <w:bCs/>
          <w:kern w:val="0"/>
          <w:szCs w:val="21"/>
        </w:rPr>
        <w:t>2</w:t>
      </w:r>
      <w:r>
        <w:rPr>
          <w:rFonts w:ascii="宋体" w:eastAsia="宋体" w:hAnsi="宋体" w:hint="eastAsia"/>
          <w:bCs/>
          <w:kern w:val="0"/>
          <w:szCs w:val="21"/>
        </w:rPr>
        <w:t>、</w:t>
      </w:r>
      <w:r>
        <w:rPr>
          <w:rFonts w:ascii="宋体" w:eastAsia="宋体" w:hAnsi="宋体"/>
          <w:bCs/>
          <w:kern w:val="0"/>
          <w:szCs w:val="21"/>
        </w:rPr>
        <w:t>“投标文件服务</w:t>
      </w:r>
      <w:r>
        <w:rPr>
          <w:rFonts w:ascii="宋体" w:eastAsia="宋体" w:hAnsi="宋体" w:hint="eastAsia"/>
          <w:bCs/>
          <w:kern w:val="0"/>
          <w:szCs w:val="21"/>
        </w:rPr>
        <w:t>响应</w:t>
      </w:r>
      <w:r>
        <w:rPr>
          <w:rFonts w:ascii="宋体" w:eastAsia="宋体" w:hAnsi="宋体"/>
          <w:bCs/>
          <w:kern w:val="0"/>
          <w:szCs w:val="21"/>
        </w:rPr>
        <w:t>”一栏详细填写响应情况，并应对照</w:t>
      </w:r>
      <w:r>
        <w:rPr>
          <w:rFonts w:ascii="宋体" w:eastAsia="宋体" w:hAnsi="宋体" w:hint="eastAsia"/>
          <w:bCs/>
          <w:kern w:val="0"/>
          <w:szCs w:val="21"/>
        </w:rPr>
        <w:t>招</w:t>
      </w:r>
      <w:r>
        <w:rPr>
          <w:rFonts w:ascii="宋体" w:eastAsia="宋体" w:hAnsi="宋体"/>
          <w:bCs/>
          <w:kern w:val="0"/>
          <w:szCs w:val="21"/>
        </w:rPr>
        <w:t>标文件</w:t>
      </w:r>
      <w:r>
        <w:rPr>
          <w:rFonts w:ascii="宋体" w:eastAsia="宋体" w:hAnsi="宋体" w:hint="eastAsia"/>
          <w:bCs/>
          <w:kern w:val="0"/>
          <w:szCs w:val="21"/>
        </w:rPr>
        <w:t>服务</w:t>
      </w:r>
      <w:r>
        <w:rPr>
          <w:rFonts w:ascii="宋体" w:eastAsia="宋体" w:hAnsi="宋体"/>
          <w:bCs/>
          <w:kern w:val="0"/>
          <w:szCs w:val="21"/>
        </w:rPr>
        <w:t>要求一一对应响应。</w:t>
      </w:r>
    </w:p>
    <w:p>
      <w:pPr>
        <w:keepNext/>
        <w:keepLines/>
        <w:tabs>
          <w:tab w:val="left" w:pos="765"/>
        </w:tabs>
        <w:spacing w:line="376" w:lineRule="auto"/>
        <w:outlineLvl w:val="3"/>
        <w:rPr>
          <w:rFonts w:ascii="宋体" w:eastAsia="宋体" w:hAnsi="宋体"/>
          <w:bCs/>
          <w:kern w:val="0"/>
          <w:szCs w:val="21"/>
        </w:rPr>
      </w:pPr>
      <w:r>
        <w:rPr>
          <w:rFonts w:ascii="宋体" w:eastAsia="宋体" w:hAnsi="宋体"/>
          <w:bCs/>
          <w:kern w:val="0"/>
          <w:szCs w:val="21"/>
        </w:rPr>
        <w:t>3</w:t>
      </w:r>
      <w:r>
        <w:rPr>
          <w:rFonts w:ascii="宋体" w:eastAsia="宋体" w:hAnsi="宋体" w:hint="eastAsia"/>
          <w:bCs/>
          <w:kern w:val="0"/>
          <w:szCs w:val="21"/>
        </w:rPr>
        <w:t>、</w:t>
      </w:r>
      <w:r>
        <w:rPr>
          <w:rFonts w:ascii="宋体" w:eastAsia="宋体" w:hAnsi="宋体"/>
          <w:bCs/>
          <w:kern w:val="0"/>
          <w:szCs w:val="21"/>
        </w:rPr>
        <w:t>“偏离情况”一栏应如实填写“正偏离”、“负偏离”或“无偏离”。</w:t>
      </w:r>
    </w:p>
    <w:p>
      <w:pPr>
        <w:keepNext/>
        <w:keepLines/>
        <w:tabs>
          <w:tab w:val="left" w:pos="765"/>
        </w:tabs>
        <w:spacing w:line="376" w:lineRule="auto"/>
        <w:outlineLvl w:val="3"/>
        <w:rPr>
          <w:rFonts w:ascii="宋体" w:eastAsia="宋体" w:hAnsi="宋体"/>
          <w:bCs/>
          <w:kern w:val="0"/>
          <w:szCs w:val="21"/>
        </w:rPr>
      </w:pPr>
      <w:r>
        <w:rPr>
          <w:rFonts w:ascii="宋体" w:eastAsia="宋体" w:hAnsi="宋体" w:hint="eastAsia"/>
          <w:bCs/>
          <w:kern w:val="0"/>
          <w:szCs w:val="21"/>
        </w:rPr>
        <w:t>4、对于实质性条款，投标文件响应为“负偏离”的，投标文件将作投标无效处理</w:t>
      </w:r>
      <w:r>
        <w:rPr>
          <w:rFonts w:ascii="宋体" w:eastAsia="宋体" w:hAnsi="宋体"/>
          <w:bCs/>
          <w:kern w:val="0"/>
          <w:szCs w:val="21"/>
        </w:rPr>
        <w:t>。</w:t>
      </w:r>
    </w:p>
    <w:p>
      <w:pPr>
        <w:keepNext/>
        <w:keepLines/>
        <w:tabs>
          <w:tab w:val="left" w:pos="765"/>
        </w:tabs>
        <w:spacing w:line="376" w:lineRule="auto"/>
        <w:outlineLvl w:val="3"/>
        <w:rPr>
          <w:rFonts w:ascii="宋体" w:eastAsia="宋体" w:hAnsi="宋体"/>
          <w:bCs/>
          <w:kern w:val="0"/>
          <w:szCs w:val="21"/>
        </w:rPr>
      </w:pPr>
      <w:r>
        <w:rPr>
          <w:rFonts w:ascii="宋体" w:eastAsia="宋体" w:hAnsi="宋体" w:hint="eastAsia"/>
          <w:bCs/>
          <w:kern w:val="0"/>
          <w:szCs w:val="21"/>
        </w:rPr>
        <w:t>5、如招标文件要求提供证明材料的，投标文件需提供相应证明材料扫描件（原件备查）并注明证明材料在投标文件中的具体位置，未按要求提供证明材料或未注明证明材料的具体位置或提供的证明资料显示不符合招标文件要求、模糊不清无法判断或未显示是否满足招标文件要求的，均视为负偏离。</w:t>
      </w:r>
    </w:p>
    <w:p>
      <w:pPr>
        <w:spacing w:after="156" w:afterLines="50"/>
        <w:jc w:val="center"/>
        <w:rPr>
          <w:rFonts w:ascii="黑体" w:eastAsia="黑体" w:hAnsi="宋体"/>
          <w:bCs/>
          <w:kern w:val="0"/>
          <w:sz w:val="24"/>
          <w:szCs w:val="24"/>
        </w:rPr>
      </w:pPr>
      <w:r>
        <w:rPr>
          <w:rFonts w:ascii="黑体" w:eastAsia="黑体" w:hAnsi="宋体" w:hint="eastAsia"/>
          <w:bCs/>
          <w:kern w:val="0"/>
          <w:sz w:val="24"/>
          <w:szCs w:val="24"/>
          <w:lang w:val="en-US" w:eastAsia="zh-CN"/>
        </w:rPr>
        <w:t>七</w:t>
      </w:r>
      <w:r>
        <w:rPr>
          <w:rFonts w:ascii="黑体" w:eastAsia="黑体" w:hAnsi="宋体" w:hint="eastAsia"/>
          <w:bCs/>
          <w:kern w:val="0"/>
          <w:sz w:val="24"/>
          <w:szCs w:val="24"/>
        </w:rPr>
        <w:t>、商务要求偏离表</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1"/>
        <w:gridCol w:w="2410"/>
        <w:gridCol w:w="2551"/>
        <w:gridCol w:w="1344"/>
        <w:gridCol w:w="2008"/>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48"/>
        </w:trPr>
        <w:tc>
          <w:tcPr>
            <w:tcW w:w="851" w:type="dxa"/>
            <w:noWrap w:val="0"/>
            <w:vAlign w:val="center"/>
          </w:tcPr>
          <w:p>
            <w:pPr>
              <w:jc w:val="center"/>
              <w:rPr>
                <w:rFonts w:ascii="宋体" w:hAnsi="宋体"/>
                <w:szCs w:val="21"/>
              </w:rPr>
            </w:pPr>
            <w:r>
              <w:rPr>
                <w:rFonts w:ascii="宋体" w:hAnsi="宋体" w:hint="eastAsia"/>
                <w:szCs w:val="21"/>
              </w:rPr>
              <w:t>序号</w:t>
            </w:r>
          </w:p>
        </w:tc>
        <w:tc>
          <w:tcPr>
            <w:tcW w:w="2410" w:type="dxa"/>
            <w:noWrap w:val="0"/>
            <w:vAlign w:val="center"/>
          </w:tcPr>
          <w:p>
            <w:pPr>
              <w:jc w:val="center"/>
              <w:rPr>
                <w:rFonts w:ascii="宋体" w:hAnsi="宋体"/>
                <w:szCs w:val="21"/>
              </w:rPr>
            </w:pPr>
            <w:r>
              <w:rPr>
                <w:rFonts w:ascii="宋体" w:hAnsi="宋体" w:hint="eastAsia"/>
                <w:szCs w:val="21"/>
              </w:rPr>
              <w:t>招标文件商务要求</w:t>
            </w:r>
          </w:p>
        </w:tc>
        <w:tc>
          <w:tcPr>
            <w:tcW w:w="2551" w:type="dxa"/>
            <w:noWrap w:val="0"/>
            <w:vAlign w:val="center"/>
          </w:tcPr>
          <w:p>
            <w:pPr>
              <w:jc w:val="center"/>
              <w:rPr>
                <w:rFonts w:ascii="宋体" w:hAnsi="宋体"/>
                <w:szCs w:val="21"/>
              </w:rPr>
            </w:pPr>
            <w:r>
              <w:rPr>
                <w:rFonts w:ascii="宋体" w:hAnsi="宋体" w:hint="eastAsia"/>
                <w:szCs w:val="21"/>
              </w:rPr>
              <w:t>投标文件商务响应</w:t>
            </w:r>
          </w:p>
        </w:tc>
        <w:tc>
          <w:tcPr>
            <w:tcW w:w="1344" w:type="dxa"/>
            <w:noWrap w:val="0"/>
            <w:vAlign w:val="center"/>
          </w:tcPr>
          <w:p>
            <w:pPr>
              <w:jc w:val="center"/>
              <w:rPr>
                <w:rFonts w:ascii="宋体" w:hAnsi="宋体"/>
                <w:szCs w:val="21"/>
              </w:rPr>
            </w:pPr>
            <w:r>
              <w:rPr>
                <w:rFonts w:ascii="宋体" w:hAnsi="宋体" w:hint="eastAsia"/>
                <w:szCs w:val="21"/>
              </w:rPr>
              <w:t>偏离情况</w:t>
            </w:r>
          </w:p>
        </w:tc>
        <w:tc>
          <w:tcPr>
            <w:tcW w:w="2008" w:type="dxa"/>
            <w:noWrap w:val="0"/>
            <w:vAlign w:val="center"/>
          </w:tcPr>
          <w:p>
            <w:pPr>
              <w:jc w:val="center"/>
              <w:rPr>
                <w:rFonts w:ascii="宋体" w:hAnsi="宋体"/>
                <w:szCs w:val="21"/>
              </w:rPr>
            </w:pPr>
            <w:r>
              <w:rPr>
                <w:rFonts w:ascii="宋体" w:hAnsi="宋体" w:hint="eastAsia"/>
                <w:szCs w:val="21"/>
              </w:rPr>
              <w:t>说明</w:t>
            </w:r>
          </w:p>
        </w:tc>
      </w:tr>
      <w:tr>
        <w:tblPrEx>
          <w:tblW w:w="0" w:type="auto"/>
          <w:tblInd w:w="108" w:type="dxa"/>
          <w:tblLayout w:type="fixed"/>
          <w:tblCellMar>
            <w:top w:w="0" w:type="dxa"/>
            <w:left w:w="108" w:type="dxa"/>
            <w:bottom w:w="0" w:type="dxa"/>
            <w:right w:w="108" w:type="dxa"/>
          </w:tblCellMar>
        </w:tblPrEx>
        <w:trPr>
          <w:trHeight w:val="261"/>
        </w:trPr>
        <w:tc>
          <w:tcPr>
            <w:tcW w:w="851" w:type="dxa"/>
            <w:noWrap w:val="0"/>
            <w:vAlign w:val="top"/>
          </w:tcPr>
          <w:p>
            <w:pPr>
              <w:rPr>
                <w:sz w:val="24"/>
              </w:rPr>
            </w:pPr>
          </w:p>
        </w:tc>
        <w:tc>
          <w:tcPr>
            <w:tcW w:w="2410" w:type="dxa"/>
            <w:noWrap w:val="0"/>
            <w:vAlign w:val="top"/>
          </w:tcPr>
          <w:p>
            <w:pPr>
              <w:rPr>
                <w:sz w:val="24"/>
              </w:rPr>
            </w:pPr>
          </w:p>
        </w:tc>
        <w:tc>
          <w:tcPr>
            <w:tcW w:w="2551" w:type="dxa"/>
            <w:noWrap w:val="0"/>
            <w:vAlign w:val="top"/>
          </w:tcPr>
          <w:p>
            <w:pPr>
              <w:rPr>
                <w:sz w:val="24"/>
              </w:rPr>
            </w:pPr>
          </w:p>
        </w:tc>
        <w:tc>
          <w:tcPr>
            <w:tcW w:w="1344" w:type="dxa"/>
            <w:noWrap w:val="0"/>
            <w:vAlign w:val="top"/>
          </w:tcPr>
          <w:p>
            <w:pPr>
              <w:rPr>
                <w:sz w:val="24"/>
              </w:rPr>
            </w:pPr>
          </w:p>
        </w:tc>
        <w:tc>
          <w:tcPr>
            <w:tcW w:w="2008" w:type="dxa"/>
            <w:noWrap w:val="0"/>
            <w:vAlign w:val="top"/>
          </w:tcPr>
          <w:p>
            <w:pPr>
              <w:rPr>
                <w:sz w:val="24"/>
              </w:rPr>
            </w:pPr>
            <w:r>
              <w:rPr>
                <w:rFonts w:hint="eastAsia"/>
                <w:szCs w:val="21"/>
              </w:rPr>
              <w:t>如需附证明文件，应在“说明”栏填写证明文件对应名称和页码。</w:t>
            </w:r>
          </w:p>
        </w:tc>
      </w:tr>
      <w:tr>
        <w:tblPrEx>
          <w:tblW w:w="0" w:type="auto"/>
          <w:tblInd w:w="108" w:type="dxa"/>
          <w:tblLayout w:type="fixed"/>
          <w:tblCellMar>
            <w:top w:w="0" w:type="dxa"/>
            <w:left w:w="108" w:type="dxa"/>
            <w:bottom w:w="0" w:type="dxa"/>
            <w:right w:w="108" w:type="dxa"/>
          </w:tblCellMar>
        </w:tblPrEx>
        <w:trPr>
          <w:trHeight w:val="275"/>
        </w:trPr>
        <w:tc>
          <w:tcPr>
            <w:tcW w:w="851" w:type="dxa"/>
            <w:noWrap w:val="0"/>
            <w:vAlign w:val="top"/>
          </w:tcPr>
          <w:p>
            <w:pPr>
              <w:rPr>
                <w:sz w:val="24"/>
              </w:rPr>
            </w:pPr>
          </w:p>
        </w:tc>
        <w:tc>
          <w:tcPr>
            <w:tcW w:w="2410" w:type="dxa"/>
            <w:noWrap w:val="0"/>
            <w:vAlign w:val="top"/>
          </w:tcPr>
          <w:p>
            <w:pPr>
              <w:rPr>
                <w:sz w:val="24"/>
              </w:rPr>
            </w:pPr>
          </w:p>
        </w:tc>
        <w:tc>
          <w:tcPr>
            <w:tcW w:w="2551" w:type="dxa"/>
            <w:noWrap w:val="0"/>
            <w:vAlign w:val="top"/>
          </w:tcPr>
          <w:p>
            <w:pPr>
              <w:rPr>
                <w:sz w:val="24"/>
              </w:rPr>
            </w:pPr>
          </w:p>
        </w:tc>
        <w:tc>
          <w:tcPr>
            <w:tcW w:w="1344" w:type="dxa"/>
            <w:noWrap w:val="0"/>
            <w:vAlign w:val="top"/>
          </w:tcPr>
          <w:p>
            <w:pPr>
              <w:rPr>
                <w:sz w:val="24"/>
              </w:rPr>
            </w:pPr>
          </w:p>
        </w:tc>
        <w:tc>
          <w:tcPr>
            <w:tcW w:w="2008" w:type="dxa"/>
            <w:noWrap w:val="0"/>
            <w:vAlign w:val="top"/>
          </w:tcPr>
          <w:p>
            <w:pPr>
              <w:rPr>
                <w:sz w:val="24"/>
              </w:rPr>
            </w:pPr>
          </w:p>
        </w:tc>
      </w:tr>
    </w:tbl>
    <w:p>
      <w:pPr>
        <w:keepNext/>
        <w:keepLines/>
        <w:tabs>
          <w:tab w:val="left" w:pos="765"/>
        </w:tabs>
        <w:spacing w:line="376" w:lineRule="auto"/>
        <w:outlineLvl w:val="3"/>
        <w:rPr>
          <w:rFonts w:ascii="宋体" w:eastAsia="宋体" w:hAnsi="宋体"/>
          <w:bCs/>
          <w:kern w:val="0"/>
          <w:szCs w:val="21"/>
        </w:rPr>
      </w:pPr>
      <w:r>
        <w:rPr>
          <w:rFonts w:ascii="宋体" w:eastAsia="宋体" w:hAnsi="宋体" w:hint="eastAsia"/>
          <w:bCs/>
          <w:kern w:val="0"/>
          <w:szCs w:val="21"/>
        </w:rPr>
        <w:t>备注：</w:t>
      </w:r>
    </w:p>
    <w:p>
      <w:pPr>
        <w:keepNext/>
        <w:keepLines/>
        <w:tabs>
          <w:tab w:val="left" w:pos="765"/>
        </w:tabs>
        <w:spacing w:line="376" w:lineRule="auto"/>
        <w:outlineLvl w:val="3"/>
        <w:rPr>
          <w:rFonts w:ascii="宋体" w:eastAsia="宋体" w:hAnsi="宋体"/>
          <w:bCs/>
          <w:kern w:val="0"/>
          <w:szCs w:val="21"/>
        </w:rPr>
      </w:pPr>
      <w:r>
        <w:rPr>
          <w:rFonts w:ascii="宋体" w:eastAsia="宋体" w:hAnsi="宋体" w:hint="eastAsia"/>
          <w:bCs/>
          <w:kern w:val="0"/>
          <w:szCs w:val="21"/>
        </w:rPr>
        <w:t>1、“招标文件商务服务要求”一栏填写招标文件第二章“招标项目需求”</w:t>
      </w:r>
      <w:r>
        <w:rPr>
          <w:rFonts w:ascii="宋体" w:eastAsia="宋体" w:hAnsi="宋体" w:hint="eastAsia"/>
          <w:b/>
          <w:bCs/>
          <w:kern w:val="0"/>
          <w:szCs w:val="21"/>
          <w:highlight w:val="yellow"/>
        </w:rPr>
        <w:t>“五、项目商务要求”</w:t>
      </w:r>
      <w:r>
        <w:rPr>
          <w:rFonts w:ascii="宋体" w:eastAsia="宋体" w:hAnsi="宋体" w:hint="eastAsia"/>
          <w:bCs/>
          <w:kern w:val="0"/>
          <w:szCs w:val="21"/>
        </w:rPr>
        <w:t>的内容</w:t>
      </w:r>
      <w:r>
        <w:rPr>
          <w:rFonts w:ascii="宋体" w:eastAsia="宋体" w:hAnsi="宋体"/>
          <w:bCs/>
          <w:kern w:val="0"/>
          <w:szCs w:val="21"/>
        </w:rPr>
        <w:t>。</w:t>
      </w:r>
    </w:p>
    <w:p>
      <w:pPr>
        <w:keepNext/>
        <w:keepLines/>
        <w:tabs>
          <w:tab w:val="left" w:pos="765"/>
        </w:tabs>
        <w:spacing w:line="376" w:lineRule="auto"/>
        <w:outlineLvl w:val="3"/>
        <w:rPr>
          <w:rFonts w:ascii="宋体" w:eastAsia="宋体" w:hAnsi="宋体"/>
          <w:bCs/>
          <w:kern w:val="0"/>
          <w:szCs w:val="21"/>
        </w:rPr>
      </w:pPr>
      <w:r>
        <w:rPr>
          <w:rFonts w:ascii="宋体" w:eastAsia="宋体" w:hAnsi="宋体" w:hint="eastAsia"/>
          <w:bCs/>
          <w:kern w:val="0"/>
          <w:szCs w:val="21"/>
        </w:rPr>
        <w:t>2、“投标文件商务响应”一栏详细填写投标商务条款的内容</w:t>
      </w:r>
      <w:r>
        <w:rPr>
          <w:rFonts w:ascii="宋体" w:eastAsia="宋体" w:hAnsi="宋体"/>
          <w:bCs/>
          <w:kern w:val="0"/>
          <w:szCs w:val="21"/>
        </w:rPr>
        <w:t>。</w:t>
      </w:r>
    </w:p>
    <w:p>
      <w:pPr>
        <w:keepNext/>
        <w:keepLines/>
        <w:tabs>
          <w:tab w:val="left" w:pos="765"/>
        </w:tabs>
        <w:spacing w:line="376" w:lineRule="auto"/>
        <w:outlineLvl w:val="3"/>
        <w:rPr>
          <w:rFonts w:ascii="宋体" w:eastAsia="宋体" w:hAnsi="宋体"/>
          <w:bCs/>
          <w:kern w:val="0"/>
          <w:szCs w:val="21"/>
        </w:rPr>
      </w:pPr>
      <w:r>
        <w:rPr>
          <w:rFonts w:ascii="宋体" w:eastAsia="宋体" w:hAnsi="宋体" w:hint="eastAsia"/>
          <w:bCs/>
          <w:kern w:val="0"/>
          <w:szCs w:val="21"/>
        </w:rPr>
        <w:t>3、“偏离情况”栏中应如实填写“正偏离”、“负偏离”或“无偏离”</w:t>
      </w:r>
      <w:r>
        <w:rPr>
          <w:rFonts w:ascii="宋体" w:eastAsia="宋体" w:hAnsi="宋体"/>
          <w:bCs/>
          <w:kern w:val="0"/>
          <w:szCs w:val="21"/>
        </w:rPr>
        <w:t>。</w:t>
      </w:r>
    </w:p>
    <w:p>
      <w:pPr>
        <w:keepNext/>
        <w:keepLines/>
        <w:tabs>
          <w:tab w:val="left" w:pos="765"/>
        </w:tabs>
        <w:spacing w:line="376" w:lineRule="auto"/>
        <w:outlineLvl w:val="3"/>
        <w:rPr>
          <w:rFonts w:ascii="宋体" w:eastAsia="宋体" w:hAnsi="宋体"/>
          <w:bCs/>
          <w:kern w:val="0"/>
          <w:szCs w:val="21"/>
        </w:rPr>
      </w:pPr>
      <w:r>
        <w:rPr>
          <w:rFonts w:ascii="宋体" w:eastAsia="宋体" w:hAnsi="宋体" w:hint="eastAsia"/>
          <w:bCs/>
          <w:kern w:val="0"/>
          <w:szCs w:val="21"/>
        </w:rPr>
        <w:t>4、对于实质性条款，投标文件响应为“负偏离”的，投标文件将作投标无效处理</w:t>
      </w:r>
      <w:r>
        <w:rPr>
          <w:rFonts w:ascii="宋体" w:eastAsia="宋体" w:hAnsi="宋体"/>
          <w:bCs/>
          <w:kern w:val="0"/>
          <w:szCs w:val="21"/>
        </w:rPr>
        <w:t>。</w:t>
      </w:r>
    </w:p>
    <w:p>
      <w:pPr>
        <w:keepNext/>
        <w:keepLines/>
        <w:tabs>
          <w:tab w:val="left" w:pos="765"/>
        </w:tabs>
        <w:spacing w:line="376" w:lineRule="auto"/>
        <w:outlineLvl w:val="3"/>
        <w:rPr>
          <w:rFonts w:ascii="宋体" w:eastAsia="宋体" w:hAnsi="宋体"/>
          <w:bCs/>
          <w:kern w:val="0"/>
          <w:szCs w:val="21"/>
        </w:rPr>
      </w:pPr>
      <w:r>
        <w:rPr>
          <w:rFonts w:ascii="宋体" w:eastAsia="宋体" w:hAnsi="宋体" w:hint="eastAsia"/>
          <w:bCs/>
          <w:kern w:val="0"/>
          <w:szCs w:val="21"/>
        </w:rPr>
        <w:t>5、如招标文件要求提供证明材料的，投标文件需提供相应证明材料扫描件（原件备查）并注明证明材料在投标文件中的具体位置，未按要求提供证明材料或未注明证明材料的具体位置或提供的证明资料显示不符合招标文件要求、模糊不清无法判断或未显示是否满足招标文件要求的，均视为负偏离。</w:t>
      </w:r>
    </w:p>
    <w:p>
      <w:pPr>
        <w:spacing w:after="156" w:afterLines="50"/>
        <w:jc w:val="center"/>
        <w:rPr>
          <w:rFonts w:ascii="黑体" w:eastAsia="黑体" w:hAnsi="宋体"/>
          <w:bCs/>
          <w:kern w:val="0"/>
          <w:sz w:val="24"/>
          <w:szCs w:val="24"/>
        </w:rPr>
      </w:pPr>
      <w:r>
        <w:rPr>
          <w:rFonts w:ascii="黑体" w:eastAsia="黑体" w:hAnsi="宋体" w:hint="eastAsia"/>
          <w:bCs/>
          <w:kern w:val="0"/>
          <w:sz w:val="24"/>
          <w:szCs w:val="24"/>
          <w:lang w:val="en-US" w:eastAsia="zh-CN"/>
        </w:rPr>
        <w:t>八</w:t>
      </w:r>
      <w:r>
        <w:rPr>
          <w:rFonts w:ascii="黑体" w:eastAsia="黑体" w:hAnsi="宋体" w:hint="eastAsia"/>
          <w:bCs/>
          <w:kern w:val="0"/>
          <w:sz w:val="24"/>
          <w:szCs w:val="24"/>
        </w:rPr>
        <w:t>、项目服务方案（格式自定）</w:t>
      </w:r>
    </w:p>
    <w:p>
      <w:pPr>
        <w:spacing w:after="156" w:afterLines="50"/>
        <w:jc w:val="center"/>
        <w:rPr>
          <w:rFonts w:ascii="黑体" w:eastAsia="黑体" w:hAnsi="宋体" w:hint="eastAsia"/>
          <w:bCs/>
          <w:kern w:val="0"/>
          <w:sz w:val="24"/>
          <w:szCs w:val="24"/>
        </w:rPr>
      </w:pPr>
      <w:r>
        <w:rPr>
          <w:rFonts w:ascii="黑体" w:eastAsia="黑体" w:hAnsi="宋体" w:hint="eastAsia"/>
          <w:bCs/>
          <w:kern w:val="0"/>
          <w:sz w:val="24"/>
          <w:szCs w:val="24"/>
          <w:lang w:val="en-US" w:eastAsia="zh-CN"/>
        </w:rPr>
        <w:t>九、</w:t>
      </w:r>
      <w:r>
        <w:rPr>
          <w:rFonts w:ascii="黑体" w:eastAsia="黑体" w:hAnsi="宋体" w:hint="eastAsia"/>
          <w:bCs/>
          <w:kern w:val="0"/>
          <w:sz w:val="24"/>
          <w:szCs w:val="24"/>
        </w:rPr>
        <w:t>项目组织管理方案（格式自定）</w:t>
      </w:r>
    </w:p>
    <w:p>
      <w:pPr>
        <w:spacing w:after="156" w:afterLines="50"/>
        <w:jc w:val="center"/>
        <w:rPr>
          <w:rFonts w:ascii="黑体" w:eastAsia="黑体" w:hAnsi="宋体" w:cs="Times New Roman" w:hint="eastAsia"/>
          <w:bCs/>
          <w:kern w:val="0"/>
          <w:sz w:val="24"/>
          <w:szCs w:val="24"/>
        </w:rPr>
      </w:pPr>
      <w:r>
        <w:rPr>
          <w:rFonts w:ascii="黑体" w:eastAsia="黑体" w:hAnsi="宋体" w:cs="Times New Roman" w:hint="eastAsia"/>
          <w:bCs/>
          <w:kern w:val="0"/>
          <w:sz w:val="24"/>
          <w:szCs w:val="24"/>
          <w:lang w:val="en-US" w:eastAsia="zh-CN"/>
        </w:rPr>
        <w:t>十、</w:t>
      </w:r>
      <w:r>
        <w:rPr>
          <w:rFonts w:ascii="黑体" w:eastAsia="黑体" w:hAnsi="宋体" w:cs="Times New Roman" w:hint="eastAsia"/>
          <w:bCs/>
          <w:kern w:val="0"/>
          <w:sz w:val="24"/>
          <w:szCs w:val="24"/>
        </w:rPr>
        <w:t>医务人员</w:t>
      </w:r>
      <w:r>
        <w:rPr>
          <w:rFonts w:ascii="黑体" w:eastAsia="黑体" w:hAnsi="宋体" w:cs="Times New Roman" w:hint="eastAsia"/>
          <w:bCs/>
          <w:kern w:val="0"/>
          <w:sz w:val="24"/>
          <w:szCs w:val="24"/>
          <w:lang w:val="en-US" w:eastAsia="zh-CN"/>
        </w:rPr>
        <w:t>稳定性保障方案</w:t>
      </w:r>
      <w:r>
        <w:rPr>
          <w:rFonts w:ascii="黑体" w:eastAsia="黑体" w:hAnsi="宋体" w:cs="Times New Roman" w:hint="eastAsia"/>
          <w:bCs/>
          <w:kern w:val="0"/>
          <w:sz w:val="24"/>
          <w:szCs w:val="24"/>
        </w:rPr>
        <w:t>（格式自定）</w:t>
      </w:r>
    </w:p>
    <w:p>
      <w:pPr>
        <w:spacing w:after="156" w:afterLines="50"/>
        <w:jc w:val="center"/>
        <w:rPr>
          <w:rFonts w:ascii="黑体" w:eastAsia="黑体" w:hAnsi="宋体" w:cs="Times New Roman" w:hint="eastAsia"/>
          <w:bCs/>
          <w:kern w:val="0"/>
          <w:sz w:val="24"/>
          <w:szCs w:val="24"/>
          <w:lang w:val="en-US" w:eastAsia="zh-CN"/>
        </w:rPr>
      </w:pPr>
      <w:r>
        <w:rPr>
          <w:rFonts w:ascii="黑体" w:eastAsia="黑体" w:hAnsi="宋体" w:cs="Times New Roman" w:hint="eastAsia"/>
          <w:bCs/>
          <w:kern w:val="0"/>
          <w:sz w:val="24"/>
          <w:szCs w:val="24"/>
          <w:lang w:val="en-US" w:eastAsia="zh-CN"/>
        </w:rPr>
        <w:t>十一、医疗档案管理及所内医疗服务方案</w:t>
      </w:r>
      <w:r>
        <w:rPr>
          <w:rFonts w:ascii="黑体" w:eastAsia="黑体" w:hAnsi="宋体" w:cs="Times New Roman" w:hint="eastAsia"/>
          <w:bCs/>
          <w:kern w:val="0"/>
          <w:sz w:val="24"/>
          <w:szCs w:val="24"/>
        </w:rPr>
        <w:t>（格式自定）</w:t>
      </w:r>
    </w:p>
    <w:p>
      <w:pPr>
        <w:spacing w:after="156" w:afterLines="50"/>
        <w:jc w:val="center"/>
        <w:rPr>
          <w:rFonts w:ascii="黑体" w:eastAsia="黑体" w:hAnsi="宋体" w:cs="Times New Roman" w:hint="eastAsia"/>
          <w:bCs/>
          <w:kern w:val="0"/>
          <w:sz w:val="24"/>
          <w:szCs w:val="24"/>
          <w:lang w:val="en-US" w:eastAsia="zh-CN"/>
        </w:rPr>
      </w:pPr>
      <w:r>
        <w:rPr>
          <w:rFonts w:ascii="黑体" w:eastAsia="黑体" w:hAnsi="宋体" w:cs="Times New Roman" w:hint="eastAsia"/>
          <w:bCs/>
          <w:kern w:val="0"/>
          <w:sz w:val="24"/>
          <w:szCs w:val="24"/>
          <w:lang w:val="en-US" w:eastAsia="zh-CN"/>
        </w:rPr>
        <w:t>十二、突发应急事项应急预案</w:t>
      </w:r>
      <w:r>
        <w:rPr>
          <w:rFonts w:ascii="黑体" w:eastAsia="黑体" w:hAnsi="宋体" w:cs="Times New Roman" w:hint="eastAsia"/>
          <w:bCs/>
          <w:kern w:val="0"/>
          <w:sz w:val="24"/>
          <w:szCs w:val="24"/>
        </w:rPr>
        <w:t>（格式自定）</w:t>
      </w:r>
    </w:p>
    <w:p>
      <w:pPr>
        <w:spacing w:after="156" w:afterLines="50"/>
        <w:jc w:val="center"/>
        <w:rPr>
          <w:rFonts w:ascii="黑体" w:eastAsia="黑体" w:hAnsi="宋体" w:cs="Times New Roman" w:hint="eastAsia"/>
          <w:bCs/>
          <w:kern w:val="0"/>
          <w:sz w:val="24"/>
          <w:szCs w:val="24"/>
          <w:lang w:val="en-US" w:eastAsia="zh-CN"/>
        </w:rPr>
      </w:pPr>
      <w:r>
        <w:rPr>
          <w:rFonts w:ascii="黑体" w:eastAsia="黑体" w:hAnsi="宋体" w:cs="Times New Roman" w:hint="eastAsia"/>
          <w:bCs/>
          <w:kern w:val="0"/>
          <w:sz w:val="24"/>
          <w:szCs w:val="24"/>
          <w:lang w:val="en-US" w:eastAsia="zh-CN"/>
        </w:rPr>
        <w:t>十三、急诊救治服务</w:t>
      </w:r>
      <w:r>
        <w:rPr>
          <w:rFonts w:ascii="黑体" w:eastAsia="黑体" w:hAnsi="宋体" w:cs="Times New Roman" w:hint="eastAsia"/>
          <w:bCs/>
          <w:kern w:val="0"/>
          <w:sz w:val="24"/>
          <w:szCs w:val="24"/>
        </w:rPr>
        <w:t>（格式自定）</w:t>
      </w:r>
    </w:p>
    <w:p>
      <w:pPr>
        <w:spacing w:after="156" w:afterLines="50"/>
        <w:jc w:val="center"/>
        <w:rPr>
          <w:rFonts w:ascii="黑体" w:eastAsia="黑体" w:hAnsi="宋体" w:cs="Times New Roman" w:hint="default"/>
          <w:bCs/>
          <w:kern w:val="0"/>
          <w:sz w:val="24"/>
          <w:szCs w:val="24"/>
          <w:lang w:val="en-US" w:eastAsia="zh-CN"/>
        </w:rPr>
      </w:pPr>
      <w:r>
        <w:rPr>
          <w:rFonts w:ascii="黑体" w:eastAsia="黑体" w:hAnsi="宋体" w:cs="Times New Roman" w:hint="eastAsia"/>
          <w:bCs/>
          <w:kern w:val="0"/>
          <w:sz w:val="24"/>
          <w:szCs w:val="24"/>
          <w:lang w:val="en-US" w:eastAsia="zh-CN"/>
        </w:rPr>
        <w:t>十四、</w:t>
      </w:r>
      <w:r>
        <w:rPr>
          <w:rFonts w:ascii="黑体" w:eastAsia="黑体" w:hAnsi="宋体" w:cs="Times New Roman" w:hint="default"/>
          <w:bCs/>
          <w:kern w:val="0"/>
          <w:sz w:val="24"/>
          <w:szCs w:val="24"/>
          <w:lang w:val="en-US" w:eastAsia="zh-CN"/>
        </w:rPr>
        <w:t>大型医疗设备保障</w:t>
      </w:r>
      <w:r>
        <w:rPr>
          <w:rFonts w:ascii="黑体" w:eastAsia="黑体" w:hAnsi="宋体" w:cs="Times New Roman" w:hint="eastAsia"/>
          <w:bCs/>
          <w:kern w:val="0"/>
          <w:sz w:val="24"/>
          <w:szCs w:val="24"/>
        </w:rPr>
        <w:t>（格式自定）</w:t>
      </w:r>
    </w:p>
    <w:p>
      <w:pPr>
        <w:spacing w:after="156" w:afterLines="50"/>
        <w:jc w:val="center"/>
        <w:rPr>
          <w:rFonts w:ascii="黑体" w:eastAsia="黑体" w:hAnsi="宋体" w:cs="Times New Roman" w:hint="eastAsia"/>
          <w:bCs/>
          <w:kern w:val="0"/>
          <w:sz w:val="24"/>
          <w:szCs w:val="24"/>
          <w:lang w:val="en-US" w:eastAsia="zh-CN"/>
        </w:rPr>
      </w:pPr>
      <w:r>
        <w:rPr>
          <w:rFonts w:ascii="黑体" w:eastAsia="黑体" w:hAnsi="宋体" w:cs="Times New Roman" w:hint="eastAsia"/>
          <w:bCs/>
          <w:kern w:val="0"/>
          <w:sz w:val="24"/>
          <w:szCs w:val="24"/>
          <w:lang w:val="en-US" w:eastAsia="zh-CN"/>
        </w:rPr>
        <w:t>十五、投标人履约能力</w:t>
      </w:r>
      <w:r>
        <w:rPr>
          <w:rFonts w:ascii="黑体" w:eastAsia="黑体" w:hAnsi="宋体" w:cs="Times New Roman" w:hint="eastAsia"/>
          <w:bCs/>
          <w:kern w:val="0"/>
          <w:sz w:val="24"/>
          <w:szCs w:val="24"/>
        </w:rPr>
        <w:t>（格式自定）</w:t>
      </w:r>
    </w:p>
    <w:p>
      <w:pPr>
        <w:spacing w:after="156" w:afterLines="50"/>
        <w:jc w:val="center"/>
        <w:rPr>
          <w:rFonts w:ascii="黑体" w:eastAsia="黑体" w:hAnsi="宋体" w:cs="Times New Roman" w:hint="eastAsia"/>
          <w:bCs/>
          <w:kern w:val="0"/>
          <w:sz w:val="24"/>
          <w:szCs w:val="24"/>
          <w:lang w:val="en-US" w:eastAsia="zh-CN"/>
        </w:rPr>
      </w:pPr>
      <w:r>
        <w:rPr>
          <w:rFonts w:ascii="黑体" w:eastAsia="黑体" w:hAnsi="宋体" w:cs="Times New Roman" w:hint="eastAsia"/>
          <w:bCs/>
          <w:kern w:val="0"/>
          <w:sz w:val="24"/>
          <w:szCs w:val="24"/>
          <w:lang w:val="en-US" w:eastAsia="zh-CN"/>
        </w:rPr>
        <w:t>十六、精神科医师技术支持能力</w:t>
      </w:r>
      <w:r>
        <w:rPr>
          <w:rFonts w:ascii="黑体" w:eastAsia="黑体" w:hAnsi="宋体" w:cs="Times New Roman" w:hint="eastAsia"/>
          <w:bCs/>
          <w:kern w:val="0"/>
          <w:sz w:val="24"/>
          <w:szCs w:val="24"/>
        </w:rPr>
        <w:t>（格式自定）</w:t>
      </w:r>
    </w:p>
    <w:p>
      <w:pPr>
        <w:jc w:val="center"/>
        <w:rPr>
          <w:rFonts w:ascii="宋体" w:hAnsi="宋体"/>
          <w:b/>
          <w:bCs/>
          <w:kern w:val="0"/>
          <w:sz w:val="24"/>
          <w:szCs w:val="20"/>
        </w:rPr>
      </w:pPr>
      <w:r>
        <w:rPr>
          <w:rFonts w:ascii="黑体" w:eastAsia="黑体" w:hAnsi="宋体" w:hint="eastAsia"/>
          <w:bCs/>
          <w:kern w:val="0"/>
          <w:sz w:val="24"/>
          <w:szCs w:val="24"/>
        </w:rPr>
        <w:t>十</w:t>
      </w:r>
      <w:r>
        <w:rPr>
          <w:rFonts w:ascii="黑体" w:eastAsia="黑体" w:hAnsi="宋体" w:hint="eastAsia"/>
          <w:bCs/>
          <w:kern w:val="0"/>
          <w:sz w:val="24"/>
          <w:szCs w:val="24"/>
          <w:lang w:val="en-US" w:eastAsia="zh-CN"/>
        </w:rPr>
        <w:t>七</w:t>
      </w:r>
      <w:r>
        <w:rPr>
          <w:rFonts w:ascii="黑体" w:eastAsia="黑体" w:hAnsi="宋体" w:hint="eastAsia"/>
          <w:bCs/>
          <w:kern w:val="0"/>
          <w:sz w:val="24"/>
          <w:szCs w:val="24"/>
        </w:rPr>
        <w:t>、招标文件要求的其它内容或投标人认为需要补充的资料（格式自定）</w:t>
      </w:r>
      <w:r>
        <w:rPr>
          <w:rFonts w:ascii="宋体" w:hAnsi="宋体"/>
          <w:b/>
          <w:bCs/>
          <w:kern w:val="0"/>
          <w:sz w:val="24"/>
          <w:szCs w:val="20"/>
        </w:rPr>
        <w:br w:type="page"/>
      </w:r>
    </w:p>
    <w:p>
      <w:pPr>
        <w:jc w:val="center"/>
        <w:rPr>
          <w:rFonts w:ascii="宋体" w:hAnsi="宋体"/>
          <w:b/>
          <w:bCs/>
          <w:kern w:val="0"/>
          <w:sz w:val="24"/>
          <w:szCs w:val="20"/>
        </w:rPr>
      </w:pPr>
      <w:r>
        <w:rPr>
          <w:rFonts w:ascii="宋体" w:hAnsi="宋体" w:hint="eastAsia"/>
          <w:b/>
          <w:bCs/>
          <w:kern w:val="0"/>
          <w:sz w:val="24"/>
          <w:szCs w:val="20"/>
        </w:rPr>
        <w:t>第四章  合同及履约情况反馈格式</w:t>
      </w:r>
    </w:p>
    <w:p>
      <w:pPr>
        <w:ind w:firstLine="412" w:firstLineChars="196"/>
        <w:rPr>
          <w:rFonts w:ascii="Times New Roman" w:hAnsi="Times New Roman"/>
          <w:szCs w:val="24"/>
        </w:rPr>
      </w:pPr>
    </w:p>
    <w:p>
      <w:pPr>
        <w:keepNext/>
        <w:keepLines/>
        <w:spacing w:before="260" w:after="260"/>
        <w:jc w:val="center"/>
        <w:outlineLvl w:val="2"/>
        <w:rPr>
          <w:rFonts w:ascii="黑体" w:eastAsia="黑体" w:hAnsi="宋体"/>
          <w:bCs/>
          <w:kern w:val="0"/>
          <w:sz w:val="24"/>
          <w:szCs w:val="24"/>
        </w:rPr>
      </w:pPr>
      <w:r>
        <w:rPr>
          <w:rFonts w:ascii="黑体" w:eastAsia="黑体" w:hAnsi="宋体" w:hint="eastAsia"/>
          <w:bCs/>
          <w:kern w:val="0"/>
          <w:sz w:val="24"/>
          <w:szCs w:val="24"/>
        </w:rPr>
        <w:t>一、合同条款及格式（</w:t>
      </w:r>
      <w:r>
        <w:rPr>
          <w:rFonts w:ascii="黑体" w:eastAsia="黑体" w:hint="eastAsia"/>
          <w:kern w:val="0"/>
          <w:sz w:val="24"/>
          <w:szCs w:val="24"/>
        </w:rPr>
        <w:t>仅供参考</w:t>
      </w:r>
      <w:r>
        <w:rPr>
          <w:rFonts w:ascii="黑体" w:eastAsia="黑体" w:hAnsi="宋体" w:hint="eastAsia"/>
          <w:bCs/>
          <w:kern w:val="0"/>
          <w:sz w:val="24"/>
          <w:szCs w:val="24"/>
        </w:rPr>
        <w:t>）</w:t>
      </w:r>
    </w:p>
    <w:p>
      <w:pPr>
        <w:ind w:firstLine="412" w:firstLineChars="196"/>
        <w:jc w:val="center"/>
        <w:rPr>
          <w:rFonts w:ascii="Times New Roman" w:hAnsi="Times New Roman"/>
          <w:sz w:val="24"/>
          <w:szCs w:val="24"/>
        </w:rPr>
      </w:pPr>
      <w:bookmarkStart w:id="12" w:name="_Toc84303603"/>
      <w:bookmarkStart w:id="13" w:name="_Toc73521592"/>
      <w:bookmarkStart w:id="14" w:name="_Toc73521680"/>
      <w:bookmarkStart w:id="15" w:name="_Toc101074886"/>
      <w:bookmarkStart w:id="16" w:name="_Toc73518163"/>
      <w:bookmarkStart w:id="17" w:name="_Toc100052414"/>
      <w:bookmarkStart w:id="18" w:name="_Toc73517685"/>
    </w:p>
    <w:p>
      <w:pPr>
        <w:ind w:firstLine="412" w:firstLineChars="196"/>
        <w:jc w:val="center"/>
        <w:rPr>
          <w:rFonts w:ascii="Times New Roman" w:hAnsi="Times New Roman"/>
          <w:sz w:val="24"/>
          <w:szCs w:val="24"/>
        </w:rPr>
      </w:pPr>
    </w:p>
    <w:p>
      <w:pPr>
        <w:adjustRightInd w:val="0"/>
        <w:snapToGrid w:val="0"/>
        <w:spacing w:after="60" w:line="360" w:lineRule="auto"/>
        <w:jc w:val="center"/>
        <w:rPr>
          <w:b/>
          <w:snapToGrid w:val="0"/>
          <w:kern w:val="0"/>
          <w:sz w:val="24"/>
        </w:rPr>
      </w:pPr>
      <w:bookmarkEnd w:id="12"/>
      <w:bookmarkEnd w:id="13"/>
      <w:bookmarkEnd w:id="14"/>
      <w:bookmarkEnd w:id="15"/>
      <w:bookmarkEnd w:id="16"/>
      <w:bookmarkEnd w:id="17"/>
      <w:bookmarkEnd w:id="18"/>
      <w:r>
        <w:rPr>
          <w:rFonts w:hint="eastAsia"/>
          <w:b/>
          <w:snapToGrid w:val="0"/>
          <w:kern w:val="0"/>
          <w:sz w:val="24"/>
        </w:rPr>
        <w:t>（拟签订的合同文本）</w:t>
      </w:r>
    </w:p>
    <w:p>
      <w:pPr>
        <w:pStyle w:val="PlainText"/>
        <w:spacing w:line="360" w:lineRule="auto"/>
        <w:ind w:firstLine="420" w:firstLineChars="200"/>
        <w:rPr>
          <w:rFonts w:ascii="Times New Roman" w:hAnsi="Times New Roman"/>
          <w:b/>
          <w:sz w:val="24"/>
        </w:rPr>
      </w:pPr>
      <w:r>
        <w:rPr>
          <w:rFonts w:ascii="Times New Roman" w:hAnsi="Times New Roman" w:hint="eastAsia"/>
          <w:b/>
          <w:sz w:val="24"/>
        </w:rPr>
        <w:t>重要说明：采购人在签订合同前有权依据招标文件要求和项目实际情况对以下合同内容进行删改或补充。</w:t>
      </w:r>
    </w:p>
    <w:p>
      <w:pPr>
        <w:adjustRightInd w:val="0"/>
        <w:snapToGrid w:val="0"/>
        <w:spacing w:line="360" w:lineRule="auto"/>
        <w:ind w:firstLine="420" w:firstLineChars="200"/>
        <w:rPr>
          <w:rFonts w:ascii="宋体" w:hAnsi="宋体"/>
          <w:b/>
          <w:bCs/>
          <w:szCs w:val="21"/>
        </w:rPr>
      </w:pPr>
    </w:p>
    <w:p>
      <w:pPr>
        <w:adjustRightInd w:val="0"/>
        <w:snapToGrid w:val="0"/>
        <w:spacing w:line="360" w:lineRule="auto"/>
        <w:ind w:firstLine="420" w:firstLineChars="200"/>
        <w:rPr>
          <w:rFonts w:ascii="宋体" w:hAnsi="宋体"/>
          <w:b/>
          <w:bCs/>
          <w:szCs w:val="21"/>
        </w:rPr>
      </w:pPr>
      <w:r>
        <w:rPr>
          <w:rFonts w:ascii="宋体" w:hAnsi="宋体" w:hint="eastAsia"/>
          <w:b/>
          <w:bCs/>
          <w:szCs w:val="21"/>
        </w:rPr>
        <w:t xml:space="preserve">采购人（甲方）：   </w:t>
      </w:r>
    </w:p>
    <w:p>
      <w:pPr>
        <w:adjustRightInd w:val="0"/>
        <w:snapToGrid w:val="0"/>
        <w:spacing w:line="360" w:lineRule="auto"/>
        <w:ind w:firstLine="420" w:firstLineChars="200"/>
        <w:rPr>
          <w:rFonts w:ascii="宋体" w:hAnsi="宋体"/>
          <w:b/>
          <w:bCs/>
          <w:szCs w:val="21"/>
        </w:rPr>
      </w:pPr>
      <w:r>
        <w:rPr>
          <w:rFonts w:ascii="宋体" w:hAnsi="宋体" w:hint="eastAsia"/>
          <w:b/>
          <w:bCs/>
          <w:szCs w:val="21"/>
        </w:rPr>
        <w:t xml:space="preserve">中标人（乙方）：                                       </w:t>
      </w:r>
    </w:p>
    <w:p>
      <w:pPr>
        <w:adjustRightInd w:val="0"/>
        <w:snapToGrid w:val="0"/>
        <w:spacing w:line="360" w:lineRule="auto"/>
        <w:rPr>
          <w:rFonts w:ascii="宋体" w:hAnsi="宋体"/>
          <w:szCs w:val="21"/>
        </w:rPr>
      </w:pPr>
    </w:p>
    <w:p>
      <w:pPr>
        <w:snapToGrid w:val="0"/>
        <w:spacing w:line="360" w:lineRule="auto"/>
        <w:ind w:firstLine="420" w:firstLineChars="200"/>
        <w:rPr>
          <w:rFonts w:ascii="宋体" w:hAnsi="宋体"/>
          <w:szCs w:val="21"/>
        </w:rPr>
      </w:pPr>
      <w:r>
        <w:rPr>
          <w:rFonts w:ascii="宋体" w:hAnsi="宋体" w:hint="eastAsia"/>
          <w:szCs w:val="21"/>
        </w:rPr>
        <w:t>根据</w:t>
      </w:r>
      <w:r>
        <w:rPr>
          <w:rFonts w:ascii="宋体" w:hAnsi="宋体" w:hint="eastAsia"/>
          <w:szCs w:val="21"/>
          <w:u w:val="single"/>
        </w:rPr>
        <w:t xml:space="preserve">                </w:t>
      </w:r>
      <w:r>
        <w:rPr>
          <w:rFonts w:ascii="宋体" w:hAnsi="宋体" w:hint="eastAsia"/>
          <w:szCs w:val="21"/>
        </w:rPr>
        <w:t>招标项目（项目编号__________________）的中标结果，由_______________________单位为中标人。根据《中华人民共和国政府采购法》、《深圳经济特区政府采购条例》、《中华人民共和国民法典》之规定，经_______________________（以下简称采购人）和_______________________（以下简称中标人）协商，就_______________________</w:t>
      </w:r>
      <w:r>
        <w:rPr>
          <w:rFonts w:ascii="宋体" w:hAnsi="宋体" w:hint="eastAsia"/>
          <w:bCs/>
          <w:snapToGrid w:val="0"/>
          <w:kern w:val="0"/>
          <w:szCs w:val="21"/>
          <w:lang w:val="zh-CN"/>
        </w:rPr>
        <w:t>项目</w:t>
      </w:r>
      <w:r>
        <w:rPr>
          <w:rFonts w:ascii="宋体" w:hAnsi="宋体" w:hint="eastAsia"/>
          <w:szCs w:val="21"/>
        </w:rPr>
        <w:t>，达成以下合同条款：</w:t>
      </w:r>
    </w:p>
    <w:p>
      <w:pPr>
        <w:pStyle w:val="PlainText"/>
        <w:snapToGrid w:val="0"/>
        <w:spacing w:line="360" w:lineRule="auto"/>
        <w:ind w:firstLine="420" w:firstLineChars="200"/>
        <w:rPr>
          <w:rFonts w:hAnsi="宋体"/>
          <w:b/>
          <w:sz w:val="21"/>
          <w:szCs w:val="21"/>
        </w:rPr>
      </w:pPr>
      <w:r>
        <w:rPr>
          <w:rFonts w:hAnsi="宋体" w:hint="eastAsia"/>
          <w:b/>
          <w:sz w:val="21"/>
          <w:szCs w:val="21"/>
        </w:rPr>
        <w:t>一、服务内容</w:t>
      </w:r>
    </w:p>
    <w:p>
      <w:pPr>
        <w:spacing w:line="360" w:lineRule="auto"/>
        <w:ind w:firstLine="422" w:firstLineChars="201"/>
        <w:rPr>
          <w:rFonts w:ascii="宋体" w:hAnsi="宋体"/>
          <w:szCs w:val="21"/>
        </w:rPr>
      </w:pPr>
      <w:r>
        <w:rPr>
          <w:rFonts w:ascii="宋体" w:hAnsi="宋体" w:hint="eastAsia"/>
          <w:szCs w:val="21"/>
        </w:rPr>
        <w:t>______________________</w:t>
      </w:r>
    </w:p>
    <w:p>
      <w:pPr>
        <w:pStyle w:val="PlainText"/>
        <w:snapToGrid w:val="0"/>
        <w:spacing w:line="360" w:lineRule="auto"/>
        <w:ind w:firstLine="420" w:firstLineChars="200"/>
        <w:rPr>
          <w:rFonts w:hAnsi="宋体"/>
          <w:b/>
          <w:sz w:val="21"/>
          <w:szCs w:val="21"/>
        </w:rPr>
      </w:pPr>
      <w:r>
        <w:rPr>
          <w:rFonts w:hAnsi="宋体" w:hint="eastAsia"/>
          <w:b/>
          <w:sz w:val="21"/>
          <w:szCs w:val="21"/>
        </w:rPr>
        <w:t>二、合同金额</w:t>
      </w:r>
    </w:p>
    <w:p>
      <w:pPr>
        <w:pStyle w:val="PlainText"/>
        <w:snapToGrid w:val="0"/>
        <w:spacing w:line="360" w:lineRule="auto"/>
        <w:ind w:firstLine="420" w:firstLineChars="200"/>
        <w:rPr>
          <w:rFonts w:hAnsi="宋体"/>
          <w:sz w:val="21"/>
          <w:szCs w:val="21"/>
        </w:rPr>
      </w:pPr>
      <w:r>
        <w:rPr>
          <w:rFonts w:hAnsi="宋体" w:hint="eastAsia"/>
          <w:sz w:val="21"/>
          <w:szCs w:val="21"/>
        </w:rPr>
        <w:t>本合同金额为（大写）：____________________________________元（￥_______________元）人民币。</w:t>
      </w:r>
    </w:p>
    <w:p>
      <w:pPr>
        <w:pStyle w:val="PlainText"/>
        <w:snapToGrid w:val="0"/>
        <w:spacing w:line="360" w:lineRule="auto"/>
        <w:ind w:firstLine="420" w:firstLineChars="200"/>
        <w:rPr>
          <w:rFonts w:hAnsi="宋体"/>
          <w:b/>
          <w:sz w:val="21"/>
          <w:szCs w:val="21"/>
        </w:rPr>
      </w:pPr>
      <w:r>
        <w:rPr>
          <w:rFonts w:hAnsi="宋体" w:hint="eastAsia"/>
          <w:b/>
          <w:sz w:val="21"/>
          <w:szCs w:val="21"/>
        </w:rPr>
        <w:t>三、技术资料</w:t>
      </w:r>
    </w:p>
    <w:p>
      <w:pPr>
        <w:pStyle w:val="PlainText"/>
        <w:snapToGrid w:val="0"/>
        <w:spacing w:line="360" w:lineRule="auto"/>
        <w:ind w:firstLine="420" w:firstLineChars="200"/>
        <w:rPr>
          <w:rFonts w:hAnsi="宋体"/>
          <w:sz w:val="21"/>
          <w:szCs w:val="21"/>
        </w:rPr>
      </w:pPr>
      <w:r>
        <w:rPr>
          <w:rFonts w:hAnsi="宋体" w:hint="eastAsia"/>
          <w:sz w:val="21"/>
          <w:szCs w:val="21"/>
        </w:rPr>
        <w:t>1、中标人应按招标文件规定的时间向采购人提供有关技术资料。</w:t>
      </w:r>
    </w:p>
    <w:p>
      <w:pPr>
        <w:pStyle w:val="PlainText"/>
        <w:snapToGrid w:val="0"/>
        <w:spacing w:line="360" w:lineRule="auto"/>
        <w:ind w:firstLine="420" w:firstLineChars="200"/>
        <w:rPr>
          <w:rFonts w:hAnsi="宋体"/>
          <w:sz w:val="21"/>
          <w:szCs w:val="21"/>
        </w:rPr>
      </w:pPr>
      <w:r>
        <w:rPr>
          <w:rFonts w:hAnsi="宋体" w:hint="eastAsia"/>
          <w:sz w:val="21"/>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pPr>
        <w:pStyle w:val="PlainText"/>
        <w:snapToGrid w:val="0"/>
        <w:spacing w:line="360" w:lineRule="auto"/>
        <w:ind w:firstLine="420" w:firstLineChars="200"/>
        <w:rPr>
          <w:rFonts w:hAnsi="宋体"/>
          <w:sz w:val="21"/>
          <w:szCs w:val="21"/>
        </w:rPr>
      </w:pPr>
      <w:r>
        <w:rPr>
          <w:rFonts w:hAnsi="宋体" w:hint="eastAsia"/>
          <w:sz w:val="21"/>
          <w:szCs w:val="21"/>
        </w:rPr>
        <w:t>3、合同履行完毕，未经采购人的书面同意，中标人不得保存在履行合同过程中所获得或接触到的任何内部数据资料。</w:t>
      </w:r>
    </w:p>
    <w:p>
      <w:pPr>
        <w:pStyle w:val="PlainText"/>
        <w:snapToGrid w:val="0"/>
        <w:spacing w:line="360" w:lineRule="auto"/>
        <w:ind w:firstLine="420" w:firstLineChars="200"/>
        <w:rPr>
          <w:rFonts w:hAnsi="宋体"/>
          <w:b/>
          <w:sz w:val="21"/>
          <w:szCs w:val="21"/>
        </w:rPr>
      </w:pPr>
      <w:r>
        <w:rPr>
          <w:rFonts w:hAnsi="宋体" w:hint="eastAsia"/>
          <w:b/>
          <w:sz w:val="21"/>
          <w:szCs w:val="21"/>
        </w:rPr>
        <w:t>四、知识产权</w:t>
      </w:r>
    </w:p>
    <w:p>
      <w:pPr>
        <w:pStyle w:val="PlainText"/>
        <w:snapToGrid w:val="0"/>
        <w:spacing w:line="360" w:lineRule="auto"/>
        <w:ind w:firstLine="420" w:firstLineChars="200"/>
        <w:rPr>
          <w:rFonts w:hAnsi="宋体"/>
          <w:bCs/>
          <w:sz w:val="21"/>
          <w:szCs w:val="21"/>
        </w:rPr>
      </w:pPr>
      <w:r>
        <w:rPr>
          <w:rFonts w:hAnsi="宋体" w:hint="eastAsia"/>
          <w:sz w:val="21"/>
          <w:szCs w:val="21"/>
        </w:rPr>
        <w:t>中标人应保证提供服务过程中不会侵犯任何第三方的知识产权</w:t>
      </w:r>
      <w:r>
        <w:rPr>
          <w:rFonts w:hAnsi="宋体" w:hint="eastAsia"/>
          <w:bCs/>
          <w:sz w:val="21"/>
          <w:szCs w:val="21"/>
        </w:rPr>
        <w:t>。</w:t>
      </w:r>
    </w:p>
    <w:p>
      <w:pPr>
        <w:pStyle w:val="PlainText"/>
        <w:snapToGrid w:val="0"/>
        <w:spacing w:line="360" w:lineRule="auto"/>
        <w:ind w:firstLine="420" w:firstLineChars="200"/>
        <w:rPr>
          <w:rFonts w:hAnsi="宋体"/>
          <w:b/>
          <w:sz w:val="21"/>
          <w:szCs w:val="21"/>
        </w:rPr>
      </w:pPr>
      <w:r>
        <w:rPr>
          <w:rFonts w:hAnsi="宋体" w:hint="eastAsia"/>
          <w:b/>
          <w:sz w:val="21"/>
          <w:szCs w:val="21"/>
        </w:rPr>
        <w:t>五、履约保证金</w:t>
      </w:r>
    </w:p>
    <w:p>
      <w:pPr>
        <w:snapToGrid w:val="0"/>
        <w:spacing w:line="360" w:lineRule="auto"/>
        <w:ind w:firstLine="420" w:firstLineChars="200"/>
        <w:rPr>
          <w:rFonts w:ascii="宋体" w:hAnsi="宋体"/>
          <w:b/>
          <w:szCs w:val="21"/>
        </w:rPr>
      </w:pPr>
      <w:r>
        <w:rPr>
          <w:rFonts w:ascii="宋体" w:hAnsi="宋体" w:hint="eastAsia"/>
          <w:b/>
          <w:szCs w:val="21"/>
        </w:rPr>
        <w:t>六、采购人的权利与义务</w:t>
      </w:r>
    </w:p>
    <w:p>
      <w:pPr>
        <w:snapToGrid w:val="0"/>
        <w:spacing w:line="360" w:lineRule="auto"/>
        <w:ind w:firstLine="420" w:firstLineChars="200"/>
        <w:rPr>
          <w:rFonts w:ascii="宋体" w:hAnsi="宋体"/>
          <w:szCs w:val="21"/>
        </w:rPr>
      </w:pPr>
      <w:r>
        <w:rPr>
          <w:rFonts w:ascii="宋体" w:hAnsi="宋体" w:hint="eastAsia"/>
          <w:szCs w:val="21"/>
        </w:rPr>
        <w:t>1、_______________________</w:t>
      </w:r>
    </w:p>
    <w:p>
      <w:pPr>
        <w:snapToGrid w:val="0"/>
        <w:spacing w:line="360" w:lineRule="auto"/>
        <w:ind w:firstLine="420" w:firstLineChars="200"/>
        <w:rPr>
          <w:rFonts w:ascii="宋体" w:hAnsi="宋体"/>
          <w:szCs w:val="21"/>
        </w:rPr>
      </w:pPr>
      <w:r>
        <w:rPr>
          <w:rFonts w:ascii="宋体" w:hAnsi="宋体" w:hint="eastAsia"/>
          <w:szCs w:val="21"/>
        </w:rPr>
        <w:t>2、_______________________</w:t>
      </w:r>
    </w:p>
    <w:p>
      <w:pPr>
        <w:snapToGrid w:val="0"/>
        <w:spacing w:line="360" w:lineRule="auto"/>
        <w:ind w:firstLine="420" w:firstLineChars="200"/>
        <w:rPr>
          <w:rFonts w:ascii="宋体" w:hAnsi="宋体"/>
          <w:szCs w:val="21"/>
        </w:rPr>
      </w:pPr>
      <w:r>
        <w:rPr>
          <w:rFonts w:ascii="宋体" w:hAnsi="宋体" w:hint="eastAsia"/>
          <w:szCs w:val="21"/>
        </w:rPr>
        <w:t>3、_______________________</w:t>
      </w:r>
    </w:p>
    <w:p>
      <w:pPr>
        <w:snapToGrid w:val="0"/>
        <w:spacing w:line="360" w:lineRule="auto"/>
        <w:ind w:firstLine="420" w:firstLineChars="200"/>
        <w:rPr>
          <w:rFonts w:ascii="宋体" w:hAnsi="宋体"/>
          <w:szCs w:val="21"/>
        </w:rPr>
      </w:pPr>
      <w:r>
        <w:rPr>
          <w:rFonts w:ascii="宋体" w:hAnsi="宋体" w:hint="eastAsia"/>
          <w:szCs w:val="21"/>
        </w:rPr>
        <w:t>4、_______________________</w:t>
      </w:r>
    </w:p>
    <w:p>
      <w:pPr>
        <w:snapToGrid w:val="0"/>
        <w:spacing w:line="360" w:lineRule="auto"/>
        <w:ind w:firstLine="420" w:firstLineChars="200"/>
        <w:rPr>
          <w:rFonts w:ascii="宋体" w:hAnsi="宋体"/>
          <w:szCs w:val="21"/>
        </w:rPr>
      </w:pPr>
      <w:r>
        <w:rPr>
          <w:rFonts w:ascii="宋体" w:hAnsi="宋体" w:hint="eastAsia"/>
          <w:szCs w:val="21"/>
        </w:rPr>
        <w:t>5、采购人的其它权利与义务_______________________</w:t>
      </w:r>
    </w:p>
    <w:p>
      <w:pPr>
        <w:snapToGrid w:val="0"/>
        <w:spacing w:line="360" w:lineRule="auto"/>
        <w:ind w:firstLine="420" w:firstLineChars="200"/>
        <w:rPr>
          <w:rFonts w:ascii="宋体" w:hAnsi="宋体"/>
          <w:b/>
          <w:szCs w:val="21"/>
        </w:rPr>
      </w:pPr>
      <w:r>
        <w:rPr>
          <w:rFonts w:ascii="宋体" w:hAnsi="宋体" w:hint="eastAsia"/>
          <w:b/>
          <w:szCs w:val="21"/>
        </w:rPr>
        <w:t>七、中标人的权利与义务</w:t>
      </w:r>
    </w:p>
    <w:p>
      <w:pPr>
        <w:snapToGrid w:val="0"/>
        <w:spacing w:line="360" w:lineRule="auto"/>
        <w:ind w:firstLine="420" w:firstLineChars="200"/>
        <w:rPr>
          <w:rFonts w:ascii="宋体" w:hAnsi="宋体"/>
          <w:szCs w:val="21"/>
        </w:rPr>
      </w:pPr>
      <w:r>
        <w:rPr>
          <w:rFonts w:ascii="宋体" w:hAnsi="宋体" w:hint="eastAsia"/>
          <w:szCs w:val="21"/>
        </w:rPr>
        <w:t>1、_______________________</w:t>
      </w:r>
    </w:p>
    <w:p>
      <w:pPr>
        <w:snapToGrid w:val="0"/>
        <w:spacing w:line="360" w:lineRule="auto"/>
        <w:ind w:firstLine="420" w:firstLineChars="200"/>
        <w:rPr>
          <w:rFonts w:ascii="宋体" w:hAnsi="宋体"/>
          <w:szCs w:val="21"/>
        </w:rPr>
      </w:pPr>
      <w:r>
        <w:rPr>
          <w:rFonts w:ascii="宋体" w:hAnsi="宋体" w:hint="eastAsia"/>
          <w:szCs w:val="21"/>
        </w:rPr>
        <w:t>2、_______________________</w:t>
      </w:r>
    </w:p>
    <w:p>
      <w:pPr>
        <w:snapToGrid w:val="0"/>
        <w:spacing w:line="360" w:lineRule="auto"/>
        <w:ind w:firstLine="420" w:firstLineChars="200"/>
        <w:rPr>
          <w:rFonts w:ascii="宋体" w:hAnsi="宋体"/>
          <w:szCs w:val="21"/>
        </w:rPr>
      </w:pPr>
      <w:r>
        <w:rPr>
          <w:rFonts w:ascii="宋体" w:hAnsi="宋体" w:hint="eastAsia"/>
          <w:szCs w:val="21"/>
        </w:rPr>
        <w:t>3、_______________________</w:t>
      </w:r>
    </w:p>
    <w:p>
      <w:pPr>
        <w:snapToGrid w:val="0"/>
        <w:spacing w:line="360" w:lineRule="auto"/>
        <w:ind w:firstLine="420" w:firstLineChars="200"/>
        <w:rPr>
          <w:rFonts w:ascii="宋体" w:hAnsi="宋体"/>
          <w:szCs w:val="21"/>
        </w:rPr>
      </w:pPr>
      <w:r>
        <w:rPr>
          <w:rFonts w:ascii="宋体" w:hAnsi="宋体" w:hint="eastAsia"/>
          <w:szCs w:val="21"/>
        </w:rPr>
        <w:t>4、_______________________</w:t>
      </w:r>
    </w:p>
    <w:p>
      <w:pPr>
        <w:snapToGrid w:val="0"/>
        <w:spacing w:line="360" w:lineRule="auto"/>
        <w:ind w:firstLine="420" w:firstLineChars="200"/>
        <w:rPr>
          <w:rFonts w:ascii="宋体" w:hAnsi="宋体"/>
          <w:szCs w:val="21"/>
        </w:rPr>
      </w:pPr>
      <w:r>
        <w:rPr>
          <w:rFonts w:ascii="宋体" w:hAnsi="宋体" w:hint="eastAsia"/>
          <w:szCs w:val="21"/>
        </w:rPr>
        <w:t>5、中标人的其它权利与义务_______________________</w:t>
      </w:r>
    </w:p>
    <w:p>
      <w:pPr>
        <w:pStyle w:val="PlainText"/>
        <w:snapToGrid w:val="0"/>
        <w:spacing w:line="360" w:lineRule="auto"/>
        <w:ind w:firstLine="420" w:firstLineChars="200"/>
        <w:rPr>
          <w:rFonts w:hAnsi="宋体"/>
          <w:b/>
          <w:sz w:val="21"/>
          <w:szCs w:val="21"/>
        </w:rPr>
      </w:pPr>
      <w:r>
        <w:rPr>
          <w:rFonts w:hAnsi="宋体" w:hint="eastAsia"/>
          <w:b/>
          <w:sz w:val="21"/>
          <w:szCs w:val="21"/>
        </w:rPr>
        <w:t>八、合同履行时间、履行方式及履行地点</w:t>
      </w:r>
    </w:p>
    <w:p>
      <w:pPr>
        <w:pStyle w:val="PlainText"/>
        <w:snapToGrid w:val="0"/>
        <w:spacing w:line="360" w:lineRule="auto"/>
        <w:ind w:firstLine="420" w:firstLineChars="200"/>
        <w:rPr>
          <w:rFonts w:hAnsi="宋体"/>
          <w:bCs/>
          <w:sz w:val="21"/>
          <w:szCs w:val="21"/>
        </w:rPr>
      </w:pPr>
      <w:r>
        <w:rPr>
          <w:rFonts w:hAnsi="宋体" w:hint="eastAsia"/>
          <w:bCs/>
          <w:sz w:val="21"/>
          <w:szCs w:val="21"/>
        </w:rPr>
        <w:t>1、</w:t>
      </w:r>
      <w:r>
        <w:rPr>
          <w:rFonts w:hAnsi="宋体" w:hint="eastAsia"/>
          <w:sz w:val="21"/>
          <w:szCs w:val="21"/>
        </w:rPr>
        <w:t>履行时间</w:t>
      </w:r>
      <w:r>
        <w:rPr>
          <w:rFonts w:hAnsi="宋体" w:hint="eastAsia"/>
          <w:bCs/>
          <w:sz w:val="21"/>
          <w:szCs w:val="21"/>
        </w:rPr>
        <w:t>：</w:t>
      </w:r>
      <w:r>
        <w:rPr>
          <w:rFonts w:hAnsi="宋体" w:hint="eastAsia"/>
          <w:sz w:val="21"/>
          <w:szCs w:val="21"/>
        </w:rPr>
        <w:t>______________________</w:t>
      </w:r>
    </w:p>
    <w:p>
      <w:pPr>
        <w:pStyle w:val="PlainText"/>
        <w:snapToGrid w:val="0"/>
        <w:spacing w:line="360" w:lineRule="auto"/>
        <w:ind w:firstLine="420" w:firstLineChars="200"/>
        <w:rPr>
          <w:rFonts w:hAnsi="宋体"/>
          <w:bCs/>
          <w:sz w:val="21"/>
          <w:szCs w:val="21"/>
        </w:rPr>
      </w:pPr>
      <w:r>
        <w:rPr>
          <w:rFonts w:hAnsi="宋体" w:hint="eastAsia"/>
          <w:bCs/>
          <w:sz w:val="21"/>
          <w:szCs w:val="21"/>
        </w:rPr>
        <w:t>2、</w:t>
      </w:r>
      <w:r>
        <w:rPr>
          <w:rFonts w:hAnsi="宋体" w:hint="eastAsia"/>
          <w:sz w:val="21"/>
          <w:szCs w:val="21"/>
        </w:rPr>
        <w:t>履行方式</w:t>
      </w:r>
      <w:r>
        <w:rPr>
          <w:rFonts w:hAnsi="宋体" w:hint="eastAsia"/>
          <w:bCs/>
          <w:sz w:val="21"/>
          <w:szCs w:val="21"/>
        </w:rPr>
        <w:t>：</w:t>
      </w:r>
      <w:r>
        <w:rPr>
          <w:rFonts w:hAnsi="宋体" w:hint="eastAsia"/>
          <w:sz w:val="21"/>
          <w:szCs w:val="21"/>
        </w:rPr>
        <w:t>______________________</w:t>
      </w:r>
    </w:p>
    <w:p>
      <w:pPr>
        <w:pStyle w:val="PlainText"/>
        <w:snapToGrid w:val="0"/>
        <w:spacing w:line="360" w:lineRule="auto"/>
        <w:ind w:firstLine="420" w:firstLineChars="200"/>
        <w:rPr>
          <w:rFonts w:hAnsi="宋体"/>
          <w:sz w:val="21"/>
          <w:szCs w:val="21"/>
        </w:rPr>
      </w:pPr>
      <w:r>
        <w:rPr>
          <w:rFonts w:hAnsi="宋体" w:hint="eastAsia"/>
          <w:bCs/>
          <w:sz w:val="21"/>
          <w:szCs w:val="21"/>
        </w:rPr>
        <w:t>3、</w:t>
      </w:r>
      <w:r>
        <w:rPr>
          <w:rFonts w:hAnsi="宋体" w:hint="eastAsia"/>
          <w:sz w:val="21"/>
          <w:szCs w:val="21"/>
        </w:rPr>
        <w:t>履行地点</w:t>
      </w:r>
      <w:r>
        <w:rPr>
          <w:rFonts w:hAnsi="宋体" w:hint="eastAsia"/>
          <w:bCs/>
          <w:sz w:val="21"/>
          <w:szCs w:val="21"/>
        </w:rPr>
        <w:t>：</w:t>
      </w:r>
      <w:r>
        <w:rPr>
          <w:rFonts w:hAnsi="宋体" w:hint="eastAsia"/>
          <w:sz w:val="21"/>
          <w:szCs w:val="21"/>
          <w:u w:val="single"/>
        </w:rPr>
        <w:t>深圳市</w:t>
      </w:r>
    </w:p>
    <w:p>
      <w:pPr>
        <w:snapToGrid w:val="0"/>
        <w:spacing w:line="360" w:lineRule="auto"/>
        <w:ind w:firstLine="420" w:firstLineChars="200"/>
        <w:rPr>
          <w:rFonts w:ascii="宋体" w:hAnsi="宋体"/>
          <w:b/>
          <w:szCs w:val="21"/>
        </w:rPr>
      </w:pPr>
      <w:r>
        <w:rPr>
          <w:rFonts w:ascii="宋体" w:hAnsi="宋体" w:hint="eastAsia"/>
          <w:b/>
          <w:szCs w:val="21"/>
        </w:rPr>
        <w:t>九、验收</w:t>
      </w:r>
    </w:p>
    <w:p>
      <w:pPr>
        <w:snapToGrid w:val="0"/>
        <w:spacing w:line="360" w:lineRule="auto"/>
        <w:ind w:firstLine="420" w:firstLineChars="200"/>
        <w:rPr>
          <w:rFonts w:ascii="宋体" w:hAnsi="宋体"/>
          <w:szCs w:val="21"/>
        </w:rPr>
      </w:pPr>
      <w:r>
        <w:rPr>
          <w:rFonts w:ascii="宋体" w:hAnsi="宋体" w:hint="eastAsia"/>
          <w:szCs w:val="21"/>
        </w:rPr>
        <w:t>1、下列文件的验收分为______个阶段:</w:t>
      </w:r>
    </w:p>
    <w:p>
      <w:pPr>
        <w:snapToGrid w:val="0"/>
        <w:spacing w:line="360" w:lineRule="auto"/>
        <w:ind w:firstLine="420" w:firstLineChars="200"/>
        <w:rPr>
          <w:rFonts w:ascii="宋体" w:hAnsi="宋体"/>
          <w:szCs w:val="21"/>
        </w:rPr>
      </w:pPr>
      <w:r>
        <w:rPr>
          <w:rFonts w:ascii="宋体" w:hAnsi="宋体" w:hint="eastAsia"/>
          <w:szCs w:val="21"/>
        </w:rPr>
        <w:t>2、其余文件和工作由用户组织有关技术人员根据国家和行业有关规范、规程、标准和用户需求直接验收。</w:t>
      </w:r>
    </w:p>
    <w:p>
      <w:pPr>
        <w:snapToGrid w:val="0"/>
        <w:spacing w:line="360" w:lineRule="auto"/>
        <w:ind w:firstLine="420" w:firstLineChars="200"/>
        <w:rPr>
          <w:rFonts w:ascii="宋体" w:hAnsi="宋体"/>
          <w:szCs w:val="21"/>
        </w:rPr>
      </w:pPr>
      <w:r>
        <w:rPr>
          <w:rFonts w:ascii="宋体" w:hAnsi="宋体" w:hint="eastAsia"/>
          <w:szCs w:val="21"/>
        </w:rPr>
        <w:t>3、验收依据为招标文件、中标人投标文件，国家和行业有关规范、规程和标准。</w:t>
      </w:r>
    </w:p>
    <w:p>
      <w:pPr>
        <w:pStyle w:val="PlainText"/>
        <w:snapToGrid w:val="0"/>
        <w:spacing w:line="360" w:lineRule="auto"/>
        <w:ind w:firstLine="420" w:firstLineChars="200"/>
        <w:rPr>
          <w:rFonts w:hAnsi="宋体"/>
          <w:b/>
          <w:sz w:val="21"/>
          <w:szCs w:val="21"/>
        </w:rPr>
      </w:pPr>
      <w:r>
        <w:rPr>
          <w:rFonts w:hAnsi="宋体" w:hint="eastAsia"/>
          <w:b/>
          <w:sz w:val="21"/>
          <w:szCs w:val="21"/>
        </w:rPr>
        <w:t>十、付款方式和税费</w:t>
      </w:r>
    </w:p>
    <w:p>
      <w:pPr>
        <w:pStyle w:val="PlainText"/>
        <w:snapToGrid w:val="0"/>
        <w:spacing w:line="360" w:lineRule="auto"/>
        <w:ind w:firstLine="420" w:firstLineChars="200"/>
        <w:rPr>
          <w:rFonts w:hAnsi="宋体"/>
          <w:bCs/>
          <w:sz w:val="21"/>
          <w:szCs w:val="21"/>
        </w:rPr>
      </w:pPr>
      <w:r>
        <w:rPr>
          <w:rFonts w:hAnsi="宋体" w:cs="宋体"/>
          <w:sz w:val="21"/>
          <w:szCs w:val="21"/>
        </w:rPr>
        <w:t>本合同付款方式为</w:t>
      </w:r>
      <w:r>
        <w:rPr>
          <w:rFonts w:hAnsi="宋体" w:cs="宋体" w:hint="eastAsia"/>
          <w:sz w:val="21"/>
          <w:szCs w:val="21"/>
        </w:rPr>
        <w:t>：</w:t>
      </w:r>
      <w:r>
        <w:rPr>
          <w:rFonts w:hAnsi="宋体" w:cs="宋体" w:hint="eastAsia"/>
          <w:sz w:val="21"/>
          <w:szCs w:val="21"/>
          <w:u w:val="single"/>
        </w:rPr>
        <w:t xml:space="preserve">                </w:t>
      </w:r>
      <w:r>
        <w:rPr>
          <w:rFonts w:hAnsi="宋体" w:hint="eastAsia"/>
          <w:bCs/>
          <w:sz w:val="21"/>
          <w:szCs w:val="21"/>
        </w:rPr>
        <w:t>。</w:t>
      </w:r>
    </w:p>
    <w:p>
      <w:pPr>
        <w:snapToGrid w:val="0"/>
        <w:spacing w:line="360" w:lineRule="auto"/>
        <w:ind w:firstLine="420" w:firstLineChars="200"/>
        <w:rPr>
          <w:rFonts w:ascii="宋体" w:hAnsi="宋体"/>
          <w:szCs w:val="21"/>
        </w:rPr>
      </w:pPr>
      <w:r>
        <w:rPr>
          <w:rFonts w:ascii="宋体" w:hAnsi="宋体" w:hint="eastAsia"/>
          <w:szCs w:val="21"/>
        </w:rPr>
        <w:t>本合同执行中相关的一切税费均由中标人负担。</w:t>
      </w:r>
    </w:p>
    <w:p>
      <w:pPr>
        <w:snapToGrid w:val="0"/>
        <w:spacing w:line="360" w:lineRule="auto"/>
        <w:ind w:firstLine="420" w:firstLineChars="200"/>
        <w:rPr>
          <w:rFonts w:ascii="宋体" w:hAnsi="宋体"/>
          <w:b/>
          <w:bCs/>
          <w:szCs w:val="21"/>
        </w:rPr>
      </w:pPr>
      <w:r>
        <w:rPr>
          <w:rFonts w:ascii="宋体" w:hAnsi="宋体" w:hint="eastAsia"/>
          <w:b/>
          <w:szCs w:val="21"/>
        </w:rPr>
        <w:t>十一、</w:t>
      </w:r>
      <w:r>
        <w:rPr>
          <w:rFonts w:ascii="宋体" w:hAnsi="宋体" w:hint="eastAsia"/>
          <w:b/>
          <w:bCs/>
          <w:szCs w:val="21"/>
        </w:rPr>
        <w:t>争议解决办法</w:t>
      </w:r>
    </w:p>
    <w:p>
      <w:pPr>
        <w:snapToGrid w:val="0"/>
        <w:spacing w:line="360" w:lineRule="auto"/>
        <w:ind w:firstLine="420" w:firstLineChars="200"/>
        <w:rPr>
          <w:rFonts w:ascii="宋体" w:hAnsi="宋体"/>
          <w:szCs w:val="21"/>
        </w:rPr>
      </w:pPr>
      <w:r>
        <w:rPr>
          <w:rFonts w:ascii="宋体" w:hAnsi="宋体"/>
          <w:szCs w:val="21"/>
        </w:rPr>
        <w:t>因履行本合同引起的或与本合同有关的争议，甲、乙双方应首先通过友好协商解决，如果协商不能解决争议，则向甲方所在地有管辖权的人民法院提起诉讼</w:t>
      </w:r>
      <w:r>
        <w:rPr>
          <w:rFonts w:ascii="宋体" w:hAnsi="宋体" w:hint="eastAsia"/>
          <w:szCs w:val="21"/>
        </w:rPr>
        <w:t>。</w:t>
      </w:r>
    </w:p>
    <w:p>
      <w:pPr>
        <w:pStyle w:val="PlainText"/>
        <w:snapToGrid w:val="0"/>
        <w:spacing w:line="360" w:lineRule="auto"/>
        <w:ind w:firstLine="420" w:firstLineChars="200"/>
        <w:rPr>
          <w:rFonts w:hAnsi="宋体"/>
          <w:b/>
          <w:sz w:val="21"/>
          <w:szCs w:val="21"/>
        </w:rPr>
      </w:pPr>
      <w:r>
        <w:rPr>
          <w:rFonts w:hAnsi="宋体" w:hint="eastAsia"/>
          <w:b/>
          <w:sz w:val="21"/>
          <w:szCs w:val="21"/>
        </w:rPr>
        <w:t>十二、违约责任</w:t>
      </w:r>
    </w:p>
    <w:p>
      <w:pPr>
        <w:pStyle w:val="PlainText"/>
        <w:snapToGrid w:val="0"/>
        <w:spacing w:line="360" w:lineRule="auto"/>
        <w:ind w:firstLine="420" w:firstLineChars="200"/>
        <w:rPr>
          <w:rFonts w:hAnsi="宋体"/>
          <w:sz w:val="21"/>
          <w:szCs w:val="21"/>
        </w:rPr>
      </w:pPr>
      <w:r>
        <w:rPr>
          <w:rFonts w:hAnsi="宋体" w:hint="eastAsia"/>
          <w:sz w:val="21"/>
          <w:szCs w:val="21"/>
        </w:rPr>
        <w:t>1、因中标人原因，未能按规定完成本项目有关工作的，采购人可在支付合同余款中扣除合同价款</w:t>
      </w:r>
      <w:r>
        <w:rPr>
          <w:rFonts w:hAnsi="宋体" w:hint="eastAsia"/>
          <w:sz w:val="21"/>
          <w:szCs w:val="21"/>
          <w:u w:val="single"/>
        </w:rPr>
        <w:t xml:space="preserve">        </w:t>
      </w:r>
      <w:r>
        <w:rPr>
          <w:rFonts w:hAnsi="宋体" w:hint="eastAsia"/>
          <w:sz w:val="21"/>
          <w:szCs w:val="21"/>
        </w:rPr>
        <w:t>。</w:t>
      </w:r>
    </w:p>
    <w:p>
      <w:pPr>
        <w:snapToGrid w:val="0"/>
        <w:spacing w:line="360" w:lineRule="auto"/>
        <w:ind w:firstLine="420" w:firstLineChars="200"/>
        <w:rPr>
          <w:rFonts w:ascii="宋体" w:hAnsi="宋体"/>
          <w:szCs w:val="21"/>
        </w:rPr>
      </w:pPr>
      <w:r>
        <w:rPr>
          <w:rFonts w:ascii="宋体" w:hAnsi="宋体" w:hint="eastAsia"/>
          <w:szCs w:val="21"/>
        </w:rPr>
        <w:t>2、__________方违反本合同__________约定，应当__________。</w:t>
      </w:r>
    </w:p>
    <w:p>
      <w:pPr>
        <w:snapToGrid w:val="0"/>
        <w:spacing w:line="360" w:lineRule="auto"/>
        <w:ind w:firstLine="420" w:firstLineChars="200"/>
        <w:rPr>
          <w:rFonts w:ascii="宋体" w:hAnsi="宋体"/>
          <w:b/>
          <w:bCs/>
          <w:szCs w:val="21"/>
        </w:rPr>
      </w:pPr>
      <w:r>
        <w:rPr>
          <w:rFonts w:ascii="宋体" w:hAnsi="宋体" w:hint="eastAsia"/>
          <w:b/>
          <w:szCs w:val="21"/>
        </w:rPr>
        <w:t>十三、合同的变更、解除或终止</w:t>
      </w:r>
    </w:p>
    <w:p>
      <w:pPr>
        <w:snapToGrid w:val="0"/>
        <w:spacing w:line="360" w:lineRule="auto"/>
        <w:ind w:firstLine="420" w:firstLineChars="200"/>
        <w:rPr>
          <w:rFonts w:ascii="宋体" w:hAnsi="宋体"/>
          <w:b/>
          <w:bCs/>
          <w:szCs w:val="21"/>
        </w:rPr>
      </w:pPr>
      <w:r>
        <w:rPr>
          <w:rFonts w:ascii="宋体" w:hAnsi="宋体" w:hint="eastAsia"/>
          <w:szCs w:val="21"/>
        </w:rPr>
        <w:t>除政府采购合同继续履行将损害国家利益和社会公共利益外，双方当事人不得擅自变更、中止或者终止合同。</w:t>
      </w:r>
    </w:p>
    <w:p>
      <w:pPr>
        <w:snapToGrid w:val="0"/>
        <w:spacing w:line="360" w:lineRule="auto"/>
        <w:ind w:firstLine="420" w:firstLineChars="200"/>
        <w:rPr>
          <w:rFonts w:ascii="宋体" w:hAnsi="宋体"/>
          <w:b/>
          <w:bCs/>
          <w:szCs w:val="21"/>
        </w:rPr>
      </w:pPr>
      <w:r>
        <w:rPr>
          <w:rFonts w:ascii="宋体" w:hAnsi="宋体" w:hint="eastAsia"/>
          <w:b/>
          <w:szCs w:val="21"/>
        </w:rPr>
        <w:t>十四、合同生效及其他</w:t>
      </w:r>
    </w:p>
    <w:p>
      <w:pPr>
        <w:snapToGrid w:val="0"/>
        <w:spacing w:line="360" w:lineRule="auto"/>
        <w:ind w:firstLine="420" w:firstLineChars="200"/>
        <w:rPr>
          <w:rFonts w:ascii="宋体" w:hAnsi="宋体"/>
          <w:szCs w:val="21"/>
        </w:rPr>
      </w:pPr>
      <w:r>
        <w:rPr>
          <w:rFonts w:ascii="宋体" w:hAnsi="宋体" w:hint="eastAsia"/>
          <w:szCs w:val="21"/>
        </w:rPr>
        <w:t>1、本合同与招标文件、中标人投标文件如有抵触之处，以本合同条款为准。</w:t>
      </w:r>
    </w:p>
    <w:p>
      <w:pPr>
        <w:snapToGrid w:val="0"/>
        <w:spacing w:line="360" w:lineRule="auto"/>
        <w:ind w:firstLine="420" w:firstLineChars="200"/>
        <w:rPr>
          <w:rFonts w:ascii="宋体" w:hAnsi="宋体"/>
          <w:szCs w:val="21"/>
        </w:rPr>
      </w:pPr>
      <w:r>
        <w:rPr>
          <w:rFonts w:ascii="宋体" w:hAnsi="宋体" w:hint="eastAsia"/>
          <w:szCs w:val="21"/>
        </w:rPr>
        <w:t>2、下列文件均为本合同的组成部分：</w:t>
      </w:r>
    </w:p>
    <w:p>
      <w:pPr>
        <w:snapToGrid w:val="0"/>
        <w:spacing w:line="360" w:lineRule="auto"/>
        <w:ind w:firstLine="420" w:firstLineChars="200"/>
        <w:rPr>
          <w:rFonts w:ascii="宋体" w:hAnsi="宋体"/>
          <w:szCs w:val="21"/>
        </w:rPr>
      </w:pPr>
      <w:r>
        <w:rPr>
          <w:rFonts w:ascii="宋体" w:hAnsi="宋体" w:hint="eastAsia"/>
          <w:szCs w:val="21"/>
        </w:rPr>
        <w:t>（1）招标文件、答疑及补充通知；</w:t>
      </w:r>
    </w:p>
    <w:p>
      <w:pPr>
        <w:snapToGrid w:val="0"/>
        <w:spacing w:line="360" w:lineRule="auto"/>
        <w:ind w:firstLine="420" w:firstLineChars="200"/>
        <w:rPr>
          <w:rFonts w:ascii="宋体" w:hAnsi="宋体"/>
          <w:szCs w:val="21"/>
        </w:rPr>
      </w:pPr>
      <w:r>
        <w:rPr>
          <w:rFonts w:ascii="宋体" w:hAnsi="宋体" w:hint="eastAsia"/>
          <w:szCs w:val="21"/>
        </w:rPr>
        <w:t>（2）</w:t>
      </w:r>
      <w:r>
        <w:rPr>
          <w:rFonts w:ascii="宋体" w:hAnsi="宋体"/>
          <w:szCs w:val="21"/>
        </w:rPr>
        <w:t>乙方的</w:t>
      </w:r>
      <w:r>
        <w:rPr>
          <w:rFonts w:ascii="宋体" w:hAnsi="宋体" w:hint="eastAsia"/>
          <w:szCs w:val="21"/>
        </w:rPr>
        <w:t>投标文件；</w:t>
      </w:r>
    </w:p>
    <w:p>
      <w:pPr>
        <w:snapToGrid w:val="0"/>
        <w:spacing w:line="360" w:lineRule="auto"/>
        <w:ind w:firstLine="420" w:firstLineChars="200"/>
        <w:rPr>
          <w:rFonts w:ascii="宋体" w:hAnsi="宋体"/>
          <w:szCs w:val="21"/>
        </w:rPr>
      </w:pPr>
      <w:r>
        <w:rPr>
          <w:rFonts w:ascii="宋体" w:hAnsi="宋体" w:hint="eastAsia"/>
          <w:szCs w:val="21"/>
        </w:rPr>
        <w:t>（3）本合同执行中共同签署的补充与修正文件。</w:t>
      </w:r>
    </w:p>
    <w:p>
      <w:pPr>
        <w:snapToGrid w:val="0"/>
        <w:spacing w:line="360" w:lineRule="auto"/>
        <w:ind w:firstLine="420" w:firstLineChars="200"/>
        <w:rPr>
          <w:rFonts w:ascii="宋体" w:hAnsi="宋体"/>
          <w:szCs w:val="21"/>
        </w:rPr>
      </w:pPr>
      <w:r>
        <w:rPr>
          <w:rFonts w:ascii="宋体" w:hAnsi="宋体" w:hint="eastAsia"/>
          <w:szCs w:val="21"/>
        </w:rPr>
        <w:t>3、本合同一式_____份，甲、中标人双方各执_____份，具有同等法律效力。本合同自双方法定代表人签字（盖章）认可之日起生效。</w:t>
      </w:r>
    </w:p>
    <w:p>
      <w:pPr>
        <w:snapToGrid w:val="0"/>
        <w:spacing w:line="360" w:lineRule="auto"/>
        <w:ind w:firstLine="420" w:firstLineChars="200"/>
        <w:rPr>
          <w:rFonts w:ascii="宋体" w:hAnsi="宋体"/>
          <w:szCs w:val="21"/>
        </w:rPr>
      </w:pPr>
      <w:r>
        <w:rPr>
          <w:rFonts w:ascii="宋体" w:hAnsi="宋体" w:hint="eastAsia"/>
          <w:szCs w:val="21"/>
        </w:rPr>
        <w:t>4、本合同未尽事宜，双方友好协商，达成解决方案，经双方签字后，可作为本合同的有效附件。</w:t>
      </w:r>
    </w:p>
    <w:p>
      <w:pPr>
        <w:pStyle w:val="PlainText"/>
        <w:snapToGrid w:val="0"/>
        <w:spacing w:line="360" w:lineRule="auto"/>
        <w:ind w:firstLine="420" w:firstLineChars="200"/>
        <w:rPr>
          <w:rFonts w:hAnsi="宋体"/>
          <w:sz w:val="21"/>
          <w:szCs w:val="21"/>
        </w:rPr>
      </w:pPr>
      <w:r>
        <w:rPr>
          <w:rFonts w:hAnsi="宋体" w:hint="eastAsia"/>
          <w:sz w:val="21"/>
          <w:szCs w:val="21"/>
        </w:rPr>
        <w:t>附件：</w:t>
      </w:r>
    </w:p>
    <w:p>
      <w:pPr>
        <w:snapToGrid w:val="0"/>
        <w:spacing w:line="360" w:lineRule="auto"/>
        <w:ind w:firstLine="420" w:firstLineChars="200"/>
        <w:rPr>
          <w:rFonts w:ascii="宋体" w:hAnsi="宋体"/>
          <w:szCs w:val="21"/>
        </w:rPr>
      </w:pPr>
      <w:r>
        <w:rPr>
          <w:rFonts w:ascii="宋体" w:hAnsi="宋体" w:hint="eastAsia"/>
          <w:szCs w:val="21"/>
        </w:rPr>
        <w:t>1、《中标/成交通知书》</w:t>
      </w:r>
    </w:p>
    <w:p>
      <w:pPr>
        <w:snapToGrid w:val="0"/>
        <w:spacing w:line="360" w:lineRule="auto"/>
        <w:ind w:firstLine="420" w:firstLineChars="200"/>
        <w:rPr>
          <w:rFonts w:ascii="宋体" w:hAnsi="宋体"/>
          <w:szCs w:val="21"/>
        </w:rPr>
      </w:pPr>
      <w:r>
        <w:rPr>
          <w:rFonts w:ascii="宋体" w:hAnsi="宋体" w:hint="eastAsia"/>
          <w:szCs w:val="21"/>
        </w:rPr>
        <w:t>2、《投标文件》</w:t>
      </w:r>
    </w:p>
    <w:p>
      <w:pPr>
        <w:snapToGrid w:val="0"/>
        <w:spacing w:line="360" w:lineRule="auto"/>
        <w:ind w:firstLine="420" w:firstLineChars="200"/>
        <w:rPr>
          <w:rFonts w:ascii="宋体" w:hAnsi="宋体"/>
          <w:szCs w:val="21"/>
        </w:rPr>
      </w:pPr>
      <w:r>
        <w:rPr>
          <w:rFonts w:ascii="宋体" w:hAnsi="宋体" w:hint="eastAsia"/>
          <w:szCs w:val="21"/>
        </w:rPr>
        <w:t>3、《招标文件》</w:t>
      </w:r>
    </w:p>
    <w:p>
      <w:pPr>
        <w:snapToGrid w:val="0"/>
        <w:spacing w:line="360" w:lineRule="auto"/>
        <w:rPr>
          <w:rFonts w:ascii="宋体" w:hAnsi="宋体"/>
          <w:szCs w:val="21"/>
        </w:rPr>
      </w:pPr>
    </w:p>
    <w:p>
      <w:pPr>
        <w:spacing w:line="360" w:lineRule="auto"/>
        <w:ind w:firstLine="424" w:firstLineChars="202"/>
        <w:jc w:val="left"/>
        <w:rPr>
          <w:rFonts w:ascii="宋体" w:hAnsi="宋体"/>
          <w:szCs w:val="21"/>
        </w:rPr>
      </w:pPr>
      <w:r>
        <w:rPr>
          <w:rFonts w:ascii="宋体" w:hAnsi="宋体" w:hint="eastAsia"/>
          <w:szCs w:val="21"/>
        </w:rPr>
        <w:t>甲方（采购人）：</w:t>
      </w:r>
      <w:r>
        <w:rPr>
          <w:rFonts w:ascii="宋体" w:hAnsi="宋体"/>
          <w:szCs w:val="21"/>
        </w:rPr>
        <w:t>（盖</w:t>
      </w:r>
      <w:r>
        <w:rPr>
          <w:rFonts w:ascii="宋体" w:hAnsi="宋体" w:hint="eastAsia"/>
          <w:szCs w:val="21"/>
        </w:rPr>
        <w:t>公</w:t>
      </w:r>
      <w:r>
        <w:rPr>
          <w:rFonts w:ascii="宋体" w:hAnsi="宋体"/>
          <w:szCs w:val="21"/>
        </w:rPr>
        <w:t xml:space="preserve">章）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乙方（</w:t>
      </w:r>
      <w:r>
        <w:rPr>
          <w:rFonts w:ascii="宋体" w:hAnsi="宋体" w:hint="eastAsia"/>
          <w:szCs w:val="21"/>
        </w:rPr>
        <w:t>中标人</w:t>
      </w:r>
      <w:r>
        <w:rPr>
          <w:rFonts w:ascii="宋体" w:hAnsi="宋体"/>
          <w:szCs w:val="21"/>
        </w:rPr>
        <w:t>）：（盖</w:t>
      </w:r>
      <w:r>
        <w:rPr>
          <w:rFonts w:ascii="宋体" w:hAnsi="宋体" w:hint="eastAsia"/>
          <w:szCs w:val="21"/>
        </w:rPr>
        <w:t>公</w:t>
      </w:r>
      <w:r>
        <w:rPr>
          <w:rFonts w:ascii="宋体" w:hAnsi="宋体"/>
          <w:szCs w:val="21"/>
        </w:rPr>
        <w:t>章）</w:t>
      </w:r>
    </w:p>
    <w:p>
      <w:pPr>
        <w:spacing w:line="360" w:lineRule="auto"/>
        <w:ind w:firstLine="424" w:firstLineChars="202"/>
        <w:jc w:val="left"/>
        <w:rPr>
          <w:rFonts w:ascii="宋体" w:hAnsi="宋体"/>
          <w:szCs w:val="21"/>
        </w:rPr>
      </w:pPr>
      <w:r>
        <w:rPr>
          <w:rFonts w:ascii="宋体" w:hAnsi="宋体" w:hint="eastAsia"/>
          <w:szCs w:val="21"/>
        </w:rPr>
        <w:t>法定代表人（签字或盖私章）：</w:t>
      </w:r>
      <w:r>
        <w:rPr>
          <w:rFonts w:ascii="宋体" w:hAnsi="宋体"/>
          <w:szCs w:val="21"/>
        </w:rPr>
        <w:t xml:space="preserve">                 法定代表人</w:t>
      </w:r>
      <w:r>
        <w:rPr>
          <w:rFonts w:ascii="宋体" w:hAnsi="宋体" w:hint="eastAsia"/>
          <w:szCs w:val="21"/>
        </w:rPr>
        <w:t>（签字或盖私章）</w:t>
      </w:r>
      <w:r>
        <w:rPr>
          <w:rFonts w:ascii="宋体" w:hAnsi="宋体"/>
          <w:szCs w:val="21"/>
        </w:rPr>
        <w:t xml:space="preserve">： </w:t>
      </w:r>
    </w:p>
    <w:p>
      <w:pPr>
        <w:spacing w:line="360" w:lineRule="auto"/>
        <w:ind w:firstLine="424" w:firstLineChars="202"/>
        <w:jc w:val="left"/>
        <w:rPr>
          <w:rFonts w:ascii="宋体" w:hAnsi="宋体"/>
          <w:szCs w:val="21"/>
        </w:rPr>
      </w:pPr>
      <w:r>
        <w:rPr>
          <w:rFonts w:ascii="宋体" w:hAnsi="宋体" w:hint="eastAsia"/>
          <w:szCs w:val="21"/>
        </w:rPr>
        <w:t>委托代理人：</w:t>
      </w:r>
      <w:r>
        <w:rPr>
          <w:rFonts w:ascii="宋体" w:hAnsi="宋体"/>
          <w:szCs w:val="21"/>
        </w:rPr>
        <w:t xml:space="preserve">                </w:t>
      </w:r>
      <w:r>
        <w:rPr>
          <w:rFonts w:ascii="宋体" w:hAnsi="宋体" w:hint="eastAsia"/>
          <w:szCs w:val="21"/>
        </w:rPr>
        <w:t xml:space="preserve">              </w:t>
      </w:r>
      <w:r>
        <w:rPr>
          <w:rFonts w:ascii="宋体" w:hAnsi="宋体"/>
          <w:szCs w:val="21"/>
        </w:rPr>
        <w:t xml:space="preserve">  委托代理人：</w:t>
      </w:r>
    </w:p>
    <w:p>
      <w:pPr>
        <w:ind w:firstLine="424" w:firstLineChars="202"/>
        <w:rPr>
          <w:rFonts w:ascii="宋体" w:hAnsi="宋体"/>
          <w:b/>
          <w:szCs w:val="21"/>
        </w:rPr>
      </w:pPr>
      <w:r>
        <w:rPr>
          <w:rFonts w:ascii="宋体" w:hAnsi="宋体" w:hint="eastAsia"/>
          <w:szCs w:val="21"/>
        </w:rPr>
        <w:t>日期：</w:t>
      </w:r>
      <w:r>
        <w:rPr>
          <w:rFonts w:ascii="宋体" w:hAnsi="宋体"/>
          <w:szCs w:val="21"/>
        </w:rPr>
        <w:t xml:space="preserve">   年     月    日    </w:t>
      </w:r>
      <w:r>
        <w:rPr>
          <w:rFonts w:ascii="宋体" w:hAnsi="宋体" w:hint="eastAsia"/>
          <w:szCs w:val="21"/>
        </w:rPr>
        <w:t xml:space="preserve">              </w:t>
      </w:r>
      <w:r>
        <w:rPr>
          <w:rFonts w:ascii="宋体" w:hAnsi="宋体"/>
          <w:szCs w:val="21"/>
        </w:rPr>
        <w:t xml:space="preserve">  日期：   年     月    日</w:t>
      </w:r>
    </w:p>
    <w:p>
      <w:pPr>
        <w:ind w:firstLine="420" w:firstLineChars="200"/>
        <w:rPr>
          <w:rFonts w:ascii="宋体" w:hAnsi="宋体"/>
          <w:szCs w:val="21"/>
        </w:rPr>
      </w:pPr>
    </w:p>
    <w:p>
      <w:pPr>
        <w:ind w:firstLine="420" w:firstLineChars="200"/>
        <w:rPr>
          <w:rFonts w:ascii="宋体" w:hAnsi="宋体"/>
          <w:szCs w:val="21"/>
        </w:rPr>
      </w:pPr>
    </w:p>
    <w:p>
      <w:pPr>
        <w:keepNext/>
        <w:keepLines/>
        <w:spacing w:before="260" w:after="260"/>
        <w:jc w:val="center"/>
        <w:outlineLvl w:val="2"/>
        <w:rPr>
          <w:rFonts w:ascii="宋体" w:hAnsi="宋体"/>
          <w:szCs w:val="21"/>
        </w:rPr>
      </w:pPr>
    </w:p>
    <w:p>
      <w:pPr>
        <w:keepNext/>
        <w:keepLines/>
        <w:spacing w:before="260" w:after="260"/>
        <w:jc w:val="center"/>
        <w:outlineLvl w:val="2"/>
        <w:rPr>
          <w:rFonts w:ascii="宋体" w:hAnsi="宋体"/>
          <w:szCs w:val="21"/>
        </w:rPr>
      </w:pPr>
    </w:p>
    <w:p>
      <w:pPr>
        <w:keepNext/>
        <w:keepLines/>
        <w:spacing w:before="260" w:after="260"/>
        <w:jc w:val="center"/>
        <w:outlineLvl w:val="2"/>
        <w:rPr>
          <w:rFonts w:ascii="宋体" w:hAnsi="宋体"/>
          <w:szCs w:val="21"/>
        </w:rPr>
      </w:pPr>
    </w:p>
    <w:p>
      <w:pPr>
        <w:keepNext/>
        <w:keepLines/>
        <w:spacing w:before="260" w:after="260"/>
        <w:jc w:val="center"/>
        <w:outlineLvl w:val="2"/>
        <w:rPr>
          <w:rFonts w:ascii="宋体" w:hAnsi="宋体"/>
          <w:szCs w:val="21"/>
        </w:rPr>
      </w:pPr>
    </w:p>
    <w:p>
      <w:pPr>
        <w:keepNext/>
        <w:keepLines/>
        <w:spacing w:before="260" w:after="260"/>
        <w:jc w:val="center"/>
        <w:outlineLvl w:val="2"/>
        <w:rPr>
          <w:rFonts w:ascii="宋体" w:hAnsi="宋体"/>
          <w:szCs w:val="21"/>
        </w:rPr>
      </w:pPr>
    </w:p>
    <w:p>
      <w:pPr>
        <w:keepNext/>
        <w:keepLines/>
        <w:spacing w:before="260" w:after="260"/>
        <w:jc w:val="center"/>
        <w:outlineLvl w:val="2"/>
        <w:rPr>
          <w:rFonts w:ascii="宋体" w:hAnsi="宋体"/>
          <w:szCs w:val="21"/>
        </w:rPr>
      </w:pPr>
    </w:p>
    <w:p>
      <w:pPr>
        <w:keepNext/>
        <w:keepLines/>
        <w:spacing w:before="260" w:after="260"/>
        <w:jc w:val="center"/>
        <w:outlineLvl w:val="2"/>
        <w:rPr>
          <w:rFonts w:ascii="宋体" w:hAnsi="宋体"/>
          <w:szCs w:val="21"/>
        </w:rPr>
      </w:pPr>
    </w:p>
    <w:p>
      <w:pPr>
        <w:keepNext/>
        <w:keepLines/>
        <w:spacing w:before="260" w:after="260"/>
        <w:jc w:val="center"/>
        <w:outlineLvl w:val="2"/>
        <w:rPr>
          <w:rFonts w:ascii="宋体" w:hAnsi="宋体"/>
          <w:szCs w:val="21"/>
        </w:rPr>
      </w:pPr>
    </w:p>
    <w:p>
      <w:pPr>
        <w:keepNext/>
        <w:keepLines/>
        <w:spacing w:before="260" w:after="260"/>
        <w:jc w:val="center"/>
        <w:outlineLvl w:val="2"/>
        <w:rPr>
          <w:rFonts w:ascii="宋体" w:hAnsi="宋体"/>
          <w:szCs w:val="21"/>
        </w:rPr>
      </w:pPr>
    </w:p>
    <w:p>
      <w:pPr>
        <w:widowControl/>
        <w:jc w:val="left"/>
        <w:rPr>
          <w:rFonts w:ascii="宋体" w:hAnsi="宋体"/>
          <w:b/>
          <w:szCs w:val="21"/>
        </w:rPr>
      </w:pPr>
      <w:r>
        <w:rPr>
          <w:bCs/>
          <w:szCs w:val="21"/>
        </w:rPr>
        <w:br w:type="page"/>
      </w:r>
    </w:p>
    <w:p>
      <w:pPr>
        <w:pStyle w:val="Heading3"/>
        <w:spacing w:before="0"/>
        <w:jc w:val="center"/>
        <w:rPr>
          <w:rFonts w:ascii="黑体" w:eastAsia="黑体"/>
          <w:b w:val="0"/>
          <w:sz w:val="24"/>
          <w:szCs w:val="24"/>
        </w:rPr>
      </w:pPr>
      <w:r>
        <w:rPr>
          <w:rFonts w:ascii="黑体" w:eastAsia="黑体" w:hint="eastAsia"/>
          <w:b w:val="0"/>
          <w:sz w:val="24"/>
          <w:szCs w:val="24"/>
        </w:rPr>
        <w:t>二、政府采购履约情况反馈表</w:t>
      </w:r>
    </w:p>
    <w:p>
      <w:pPr>
        <w:spacing w:line="240" w:lineRule="atLeast"/>
        <w:rPr>
          <w:rFonts w:ascii="宋体" w:hAnsi="宋体"/>
          <w:b/>
          <w:szCs w:val="21"/>
        </w:rPr>
      </w:pPr>
      <w:r>
        <w:rPr>
          <w:rFonts w:ascii="宋体" w:hAnsi="宋体" w:hint="eastAsia"/>
          <w:b/>
          <w:szCs w:val="21"/>
        </w:rPr>
        <w:t>采购人名称：                       联系人及电话：</w:t>
      </w:r>
    </w:p>
    <w:p>
      <w:pPr>
        <w:spacing w:line="60" w:lineRule="exact"/>
        <w:rPr>
          <w:rFonts w:ascii="宋体" w:hAnsi="宋体"/>
          <w:b/>
          <w:szCs w:val="21"/>
        </w:rPr>
      </w:pPr>
    </w:p>
    <w:tbl>
      <w:tblPr>
        <w:tblStyle w:val="TableNormal"/>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0" w:type="dxa"/>
          <w:left w:w="108" w:type="dxa"/>
          <w:bottom w:w="0" w:type="dxa"/>
          <w:right w:w="108" w:type="dxa"/>
        </w:tblCellMar>
      </w:tblPr>
      <w:tblGrid>
        <w:gridCol w:w="842"/>
        <w:gridCol w:w="720"/>
        <w:gridCol w:w="720"/>
        <w:gridCol w:w="2520"/>
        <w:gridCol w:w="1980"/>
        <w:gridCol w:w="2135"/>
      </w:tblGrid>
      <w:tr>
        <w:tblPrEx>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0" w:type="dxa"/>
            <w:left w:w="108" w:type="dxa"/>
            <w:bottom w:w="0" w:type="dxa"/>
            <w:right w:w="108" w:type="dxa"/>
          </w:tblCellMar>
        </w:tblPrEx>
        <w:trPr>
          <w:trHeight w:val="450"/>
          <w:jc w:val="center"/>
        </w:trPr>
        <w:tc>
          <w:tcPr>
            <w:tcW w:w="2282" w:type="dxa"/>
            <w:gridSpan w:val="3"/>
            <w:noWrap w:val="0"/>
            <w:vAlign w:val="center"/>
          </w:tcPr>
          <w:p>
            <w:pPr>
              <w:spacing w:line="240" w:lineRule="atLeast"/>
              <w:jc w:val="center"/>
              <w:rPr>
                <w:rFonts w:ascii="宋体" w:hAnsi="宋体"/>
                <w:szCs w:val="21"/>
              </w:rPr>
            </w:pPr>
            <w:r>
              <w:rPr>
                <w:rFonts w:ascii="宋体" w:hAnsi="宋体" w:hint="eastAsia"/>
                <w:szCs w:val="21"/>
              </w:rPr>
              <w:t>采购项目名称</w:t>
            </w:r>
          </w:p>
        </w:tc>
        <w:tc>
          <w:tcPr>
            <w:tcW w:w="2520" w:type="dxa"/>
            <w:noWrap w:val="0"/>
            <w:vAlign w:val="center"/>
          </w:tcPr>
          <w:p>
            <w:pPr>
              <w:spacing w:line="240" w:lineRule="atLeast"/>
              <w:jc w:val="center"/>
              <w:rPr>
                <w:rFonts w:ascii="宋体" w:hAnsi="宋体"/>
                <w:szCs w:val="21"/>
              </w:rPr>
            </w:pPr>
          </w:p>
        </w:tc>
        <w:tc>
          <w:tcPr>
            <w:tcW w:w="1980" w:type="dxa"/>
            <w:noWrap w:val="0"/>
            <w:vAlign w:val="center"/>
          </w:tcPr>
          <w:p>
            <w:pPr>
              <w:spacing w:line="240" w:lineRule="atLeast"/>
              <w:jc w:val="center"/>
              <w:rPr>
                <w:rFonts w:ascii="宋体" w:hAnsi="宋体"/>
                <w:szCs w:val="21"/>
              </w:rPr>
            </w:pPr>
            <w:r>
              <w:rPr>
                <w:rFonts w:ascii="宋体" w:hAnsi="宋体" w:hint="eastAsia"/>
                <w:szCs w:val="21"/>
              </w:rPr>
              <w:t>项目编号</w:t>
            </w:r>
          </w:p>
        </w:tc>
        <w:tc>
          <w:tcPr>
            <w:tcW w:w="2135" w:type="dxa"/>
            <w:noWrap w:val="0"/>
            <w:vAlign w:val="center"/>
          </w:tcPr>
          <w:p>
            <w:pPr>
              <w:spacing w:line="240" w:lineRule="atLeast"/>
              <w:jc w:val="center"/>
              <w:rPr>
                <w:rFonts w:ascii="宋体" w:hAnsi="宋体"/>
                <w:szCs w:val="21"/>
              </w:rPr>
            </w:pPr>
          </w:p>
        </w:tc>
      </w:tr>
      <w:tr>
        <w:tblPrEx>
          <w:tblW w:w="0" w:type="auto"/>
          <w:jc w:val="center"/>
          <w:tblLayout w:type="fixed"/>
          <w:tblCellMar>
            <w:top w:w="0" w:type="dxa"/>
            <w:left w:w="108" w:type="dxa"/>
            <w:bottom w:w="0" w:type="dxa"/>
            <w:right w:w="108" w:type="dxa"/>
          </w:tblCellMar>
        </w:tblPrEx>
        <w:trPr>
          <w:trHeight w:val="461"/>
          <w:jc w:val="center"/>
        </w:trPr>
        <w:tc>
          <w:tcPr>
            <w:tcW w:w="2282" w:type="dxa"/>
            <w:gridSpan w:val="3"/>
            <w:noWrap w:val="0"/>
            <w:vAlign w:val="center"/>
          </w:tcPr>
          <w:p>
            <w:pPr>
              <w:spacing w:line="240" w:lineRule="atLeast"/>
              <w:jc w:val="center"/>
              <w:rPr>
                <w:rFonts w:ascii="宋体" w:hAnsi="宋体"/>
                <w:szCs w:val="21"/>
              </w:rPr>
            </w:pPr>
            <w:r>
              <w:rPr>
                <w:rFonts w:ascii="宋体" w:hAnsi="宋体" w:hint="eastAsia"/>
                <w:szCs w:val="21"/>
              </w:rPr>
              <w:t>中标供应商名称</w:t>
            </w:r>
          </w:p>
        </w:tc>
        <w:tc>
          <w:tcPr>
            <w:tcW w:w="2520" w:type="dxa"/>
            <w:noWrap w:val="0"/>
            <w:vAlign w:val="center"/>
          </w:tcPr>
          <w:p>
            <w:pPr>
              <w:spacing w:line="240" w:lineRule="atLeast"/>
              <w:jc w:val="center"/>
              <w:rPr>
                <w:rFonts w:ascii="宋体" w:hAnsi="宋体"/>
                <w:szCs w:val="21"/>
              </w:rPr>
            </w:pPr>
          </w:p>
        </w:tc>
        <w:tc>
          <w:tcPr>
            <w:tcW w:w="1980" w:type="dxa"/>
            <w:noWrap w:val="0"/>
            <w:vAlign w:val="center"/>
          </w:tcPr>
          <w:p>
            <w:pPr>
              <w:spacing w:line="240" w:lineRule="atLeast"/>
              <w:jc w:val="center"/>
              <w:rPr>
                <w:rFonts w:ascii="宋体" w:hAnsi="宋体"/>
                <w:szCs w:val="21"/>
              </w:rPr>
            </w:pPr>
            <w:r>
              <w:rPr>
                <w:rFonts w:ascii="宋体" w:hAnsi="宋体" w:hint="eastAsia"/>
                <w:szCs w:val="21"/>
              </w:rPr>
              <w:t>供应商</w:t>
            </w:r>
          </w:p>
          <w:p>
            <w:pPr>
              <w:spacing w:line="240" w:lineRule="atLeast"/>
              <w:jc w:val="center"/>
              <w:rPr>
                <w:rFonts w:ascii="宋体" w:hAnsi="宋体"/>
                <w:szCs w:val="21"/>
              </w:rPr>
            </w:pPr>
            <w:r>
              <w:rPr>
                <w:rFonts w:ascii="宋体" w:hAnsi="宋体" w:hint="eastAsia"/>
                <w:szCs w:val="21"/>
              </w:rPr>
              <w:t>联系人及电话</w:t>
            </w:r>
          </w:p>
        </w:tc>
        <w:tc>
          <w:tcPr>
            <w:tcW w:w="2135" w:type="dxa"/>
            <w:noWrap w:val="0"/>
            <w:vAlign w:val="center"/>
          </w:tcPr>
          <w:p>
            <w:pPr>
              <w:spacing w:line="240" w:lineRule="atLeast"/>
              <w:jc w:val="center"/>
              <w:rPr>
                <w:rFonts w:ascii="宋体" w:hAnsi="宋体"/>
                <w:szCs w:val="21"/>
              </w:rPr>
            </w:pPr>
          </w:p>
        </w:tc>
      </w:tr>
      <w:tr>
        <w:tblPrEx>
          <w:tblW w:w="0" w:type="auto"/>
          <w:jc w:val="center"/>
          <w:tblLayout w:type="fixed"/>
          <w:tblCellMar>
            <w:top w:w="0" w:type="dxa"/>
            <w:left w:w="108" w:type="dxa"/>
            <w:bottom w:w="0" w:type="dxa"/>
            <w:right w:w="108" w:type="dxa"/>
          </w:tblCellMar>
        </w:tblPrEx>
        <w:trPr>
          <w:trHeight w:val="438"/>
          <w:jc w:val="center"/>
        </w:trPr>
        <w:tc>
          <w:tcPr>
            <w:tcW w:w="2282" w:type="dxa"/>
            <w:gridSpan w:val="3"/>
            <w:noWrap w:val="0"/>
            <w:vAlign w:val="center"/>
          </w:tcPr>
          <w:p>
            <w:pPr>
              <w:spacing w:line="240" w:lineRule="atLeast"/>
              <w:jc w:val="center"/>
              <w:rPr>
                <w:rFonts w:ascii="宋体" w:hAnsi="宋体"/>
                <w:szCs w:val="21"/>
              </w:rPr>
            </w:pPr>
            <w:r>
              <w:rPr>
                <w:rFonts w:ascii="宋体" w:hAnsi="宋体" w:hint="eastAsia"/>
                <w:szCs w:val="21"/>
              </w:rPr>
              <w:t>中标金额</w:t>
            </w:r>
          </w:p>
        </w:tc>
        <w:tc>
          <w:tcPr>
            <w:tcW w:w="2520" w:type="dxa"/>
            <w:noWrap w:val="0"/>
            <w:vAlign w:val="center"/>
          </w:tcPr>
          <w:p>
            <w:pPr>
              <w:spacing w:line="240" w:lineRule="atLeast"/>
              <w:jc w:val="center"/>
              <w:rPr>
                <w:rFonts w:ascii="宋体" w:hAnsi="宋体"/>
                <w:szCs w:val="21"/>
              </w:rPr>
            </w:pPr>
          </w:p>
        </w:tc>
        <w:tc>
          <w:tcPr>
            <w:tcW w:w="1980" w:type="dxa"/>
            <w:noWrap w:val="0"/>
            <w:vAlign w:val="center"/>
          </w:tcPr>
          <w:p>
            <w:pPr>
              <w:spacing w:line="240" w:lineRule="atLeast"/>
              <w:jc w:val="center"/>
              <w:rPr>
                <w:rFonts w:ascii="宋体" w:hAnsi="宋体"/>
                <w:szCs w:val="21"/>
              </w:rPr>
            </w:pPr>
            <w:r>
              <w:rPr>
                <w:rFonts w:ascii="宋体" w:hAnsi="宋体" w:hint="eastAsia"/>
                <w:szCs w:val="21"/>
              </w:rPr>
              <w:t>合同履约时间</w:t>
            </w:r>
          </w:p>
        </w:tc>
        <w:tc>
          <w:tcPr>
            <w:tcW w:w="2135" w:type="dxa"/>
            <w:noWrap w:val="0"/>
            <w:vAlign w:val="center"/>
          </w:tcPr>
          <w:p>
            <w:pPr>
              <w:spacing w:line="240" w:lineRule="atLeast"/>
              <w:rPr>
                <w:rFonts w:ascii="宋体" w:hAnsi="宋体"/>
                <w:szCs w:val="21"/>
              </w:rPr>
            </w:pPr>
            <w:r>
              <w:rPr>
                <w:rFonts w:ascii="宋体" w:hAnsi="宋体" w:hint="eastAsia"/>
                <w:szCs w:val="21"/>
              </w:rPr>
              <w:t>自       至</w:t>
            </w:r>
          </w:p>
        </w:tc>
      </w:tr>
      <w:tr>
        <w:tblPrEx>
          <w:tblW w:w="0" w:type="auto"/>
          <w:jc w:val="center"/>
          <w:tblLayout w:type="fixed"/>
          <w:tblCellMar>
            <w:top w:w="0" w:type="dxa"/>
            <w:left w:w="108" w:type="dxa"/>
            <w:bottom w:w="0" w:type="dxa"/>
            <w:right w:w="108" w:type="dxa"/>
          </w:tblCellMar>
        </w:tblPrEx>
        <w:trPr>
          <w:trHeight w:val="544"/>
          <w:jc w:val="center"/>
        </w:trPr>
        <w:tc>
          <w:tcPr>
            <w:tcW w:w="842" w:type="dxa"/>
            <w:vMerge w:val="restart"/>
            <w:noWrap w:val="0"/>
            <w:vAlign w:val="center"/>
          </w:tcPr>
          <w:p>
            <w:pPr>
              <w:spacing w:line="240" w:lineRule="atLeast"/>
              <w:jc w:val="center"/>
              <w:rPr>
                <w:rFonts w:ascii="宋体" w:hAnsi="宋体"/>
                <w:b/>
                <w:szCs w:val="21"/>
              </w:rPr>
            </w:pPr>
            <w:r>
              <w:rPr>
                <w:rFonts w:ascii="宋体" w:hAnsi="宋体" w:hint="eastAsia"/>
                <w:b/>
                <w:szCs w:val="21"/>
              </w:rPr>
              <w:t>履约情况评价</w:t>
            </w:r>
          </w:p>
        </w:tc>
        <w:tc>
          <w:tcPr>
            <w:tcW w:w="1440" w:type="dxa"/>
            <w:gridSpan w:val="2"/>
            <w:tcBorders>
              <w:right w:val="single" w:sz="4" w:space="0" w:color="auto"/>
            </w:tcBorders>
            <w:noWrap w:val="0"/>
            <w:vAlign w:val="center"/>
          </w:tcPr>
          <w:p>
            <w:pPr>
              <w:spacing w:line="240" w:lineRule="atLeast"/>
              <w:jc w:val="center"/>
              <w:rPr>
                <w:rFonts w:ascii="宋体" w:hAnsi="宋体"/>
                <w:szCs w:val="21"/>
              </w:rPr>
            </w:pPr>
            <w:r>
              <w:rPr>
                <w:rFonts w:ascii="宋体" w:hAnsi="宋体" w:hint="eastAsia"/>
                <w:szCs w:val="21"/>
              </w:rPr>
              <w:t>总体评价</w:t>
            </w:r>
          </w:p>
        </w:tc>
        <w:tc>
          <w:tcPr>
            <w:tcW w:w="6635" w:type="dxa"/>
            <w:gridSpan w:val="3"/>
            <w:tcBorders>
              <w:left w:val="single" w:sz="4" w:space="0" w:color="auto"/>
            </w:tcBorders>
            <w:noWrap w:val="0"/>
            <w:vAlign w:val="center"/>
          </w:tcPr>
          <w:p>
            <w:pPr>
              <w:spacing w:line="240" w:lineRule="atLeast"/>
              <w:ind w:firstLine="105" w:firstLineChars="50"/>
              <w:jc w:val="center"/>
              <w:rPr>
                <w:rFonts w:ascii="宋体" w:hAnsi="宋体"/>
                <w:szCs w:val="21"/>
              </w:rPr>
            </w:pPr>
            <w:r>
              <w:rPr>
                <w:rFonts w:ascii="宋体" w:hAnsi="宋体" w:hint="eastAsia"/>
                <w:szCs w:val="21"/>
              </w:rPr>
              <w:t>□ 优          □ 良          □ 中           □ 差</w:t>
            </w:r>
          </w:p>
        </w:tc>
      </w:tr>
      <w:tr>
        <w:tblPrEx>
          <w:tblW w:w="0" w:type="auto"/>
          <w:jc w:val="center"/>
          <w:tblLayout w:type="fixed"/>
          <w:tblCellMar>
            <w:top w:w="0" w:type="dxa"/>
            <w:left w:w="108" w:type="dxa"/>
            <w:bottom w:w="0" w:type="dxa"/>
            <w:right w:w="108" w:type="dxa"/>
          </w:tblCellMar>
        </w:tblPrEx>
        <w:trPr>
          <w:trHeight w:val="458"/>
          <w:jc w:val="center"/>
        </w:trPr>
        <w:tc>
          <w:tcPr>
            <w:tcW w:w="842" w:type="dxa"/>
            <w:vMerge/>
            <w:noWrap w:val="0"/>
            <w:vAlign w:val="center"/>
          </w:tcPr>
          <w:p>
            <w:pPr>
              <w:spacing w:line="240" w:lineRule="atLeast"/>
              <w:jc w:val="center"/>
              <w:rPr>
                <w:rFonts w:ascii="宋体" w:hAnsi="宋体"/>
                <w:szCs w:val="21"/>
              </w:rPr>
            </w:pPr>
          </w:p>
        </w:tc>
        <w:tc>
          <w:tcPr>
            <w:tcW w:w="720" w:type="dxa"/>
            <w:vMerge w:val="restart"/>
            <w:tcBorders>
              <w:right w:val="single" w:sz="4" w:space="0" w:color="auto"/>
            </w:tcBorders>
            <w:noWrap w:val="0"/>
            <w:vAlign w:val="center"/>
          </w:tcPr>
          <w:p>
            <w:pPr>
              <w:spacing w:line="240" w:lineRule="atLeast"/>
              <w:jc w:val="center"/>
              <w:rPr>
                <w:rFonts w:ascii="宋体" w:hAnsi="宋体"/>
                <w:szCs w:val="21"/>
              </w:rPr>
            </w:pPr>
            <w:r>
              <w:rPr>
                <w:rFonts w:ascii="宋体" w:hAnsi="宋体" w:hint="eastAsia"/>
                <w:szCs w:val="21"/>
              </w:rPr>
              <w:t>分项评价</w:t>
            </w:r>
          </w:p>
        </w:tc>
        <w:tc>
          <w:tcPr>
            <w:tcW w:w="720" w:type="dxa"/>
            <w:tcBorders>
              <w:left w:val="single" w:sz="4" w:space="0" w:color="auto"/>
              <w:right w:val="single" w:sz="4" w:space="0" w:color="auto"/>
            </w:tcBorders>
            <w:noWrap w:val="0"/>
            <w:vAlign w:val="center"/>
          </w:tcPr>
          <w:p>
            <w:pPr>
              <w:spacing w:line="240" w:lineRule="atLeast"/>
              <w:jc w:val="center"/>
              <w:rPr>
                <w:rFonts w:ascii="宋体" w:hAnsi="宋体"/>
                <w:szCs w:val="21"/>
              </w:rPr>
            </w:pPr>
            <w:r>
              <w:rPr>
                <w:rFonts w:ascii="宋体" w:hAnsi="宋体" w:hint="eastAsia"/>
                <w:szCs w:val="21"/>
              </w:rPr>
              <w:t>质量方面</w:t>
            </w:r>
          </w:p>
        </w:tc>
        <w:tc>
          <w:tcPr>
            <w:tcW w:w="6635" w:type="dxa"/>
            <w:gridSpan w:val="3"/>
            <w:tcBorders>
              <w:left w:val="single" w:sz="4" w:space="0" w:color="auto"/>
            </w:tcBorders>
            <w:noWrap w:val="0"/>
            <w:vAlign w:val="center"/>
          </w:tcPr>
          <w:p>
            <w:pPr>
              <w:spacing w:line="240" w:lineRule="atLeast"/>
              <w:jc w:val="center"/>
              <w:rPr>
                <w:rFonts w:ascii="宋体" w:hAnsi="宋体"/>
                <w:szCs w:val="21"/>
              </w:rPr>
            </w:pPr>
            <w:r>
              <w:rPr>
                <w:rFonts w:ascii="宋体" w:hAnsi="宋体" w:hint="eastAsia"/>
                <w:szCs w:val="21"/>
              </w:rPr>
              <w:t xml:space="preserve"> □ 优          □ 良          □ 中           □ 差</w:t>
            </w:r>
          </w:p>
        </w:tc>
      </w:tr>
      <w:tr>
        <w:tblPrEx>
          <w:tblW w:w="0" w:type="auto"/>
          <w:jc w:val="center"/>
          <w:tblLayout w:type="fixed"/>
          <w:tblCellMar>
            <w:top w:w="0" w:type="dxa"/>
            <w:left w:w="108" w:type="dxa"/>
            <w:bottom w:w="0" w:type="dxa"/>
            <w:right w:w="108" w:type="dxa"/>
          </w:tblCellMar>
        </w:tblPrEx>
        <w:trPr>
          <w:trHeight w:val="458"/>
          <w:jc w:val="center"/>
        </w:trPr>
        <w:tc>
          <w:tcPr>
            <w:tcW w:w="842" w:type="dxa"/>
            <w:vMerge/>
            <w:noWrap w:val="0"/>
            <w:vAlign w:val="center"/>
          </w:tcPr>
          <w:p>
            <w:pPr>
              <w:spacing w:line="240" w:lineRule="atLeast"/>
              <w:jc w:val="center"/>
              <w:rPr>
                <w:rFonts w:ascii="宋体" w:hAnsi="宋体"/>
                <w:szCs w:val="21"/>
              </w:rPr>
            </w:pPr>
          </w:p>
        </w:tc>
        <w:tc>
          <w:tcPr>
            <w:tcW w:w="720" w:type="dxa"/>
            <w:vMerge/>
            <w:tcBorders>
              <w:right w:val="single" w:sz="4" w:space="0" w:color="auto"/>
            </w:tcBorders>
            <w:noWrap w:val="0"/>
            <w:vAlign w:val="center"/>
          </w:tcPr>
          <w:p>
            <w:pPr>
              <w:spacing w:line="240" w:lineRule="atLeast"/>
              <w:jc w:val="center"/>
              <w:rPr>
                <w:rFonts w:ascii="宋体" w:hAnsi="宋体"/>
                <w:szCs w:val="21"/>
              </w:rPr>
            </w:pPr>
          </w:p>
        </w:tc>
        <w:tc>
          <w:tcPr>
            <w:tcW w:w="720" w:type="dxa"/>
            <w:tcBorders>
              <w:left w:val="single" w:sz="4" w:space="0" w:color="auto"/>
              <w:right w:val="single" w:sz="4" w:space="0" w:color="auto"/>
            </w:tcBorders>
            <w:noWrap w:val="0"/>
            <w:vAlign w:val="center"/>
          </w:tcPr>
          <w:p>
            <w:pPr>
              <w:spacing w:line="240" w:lineRule="atLeast"/>
              <w:jc w:val="center"/>
              <w:rPr>
                <w:rFonts w:ascii="宋体" w:hAnsi="宋体"/>
                <w:szCs w:val="21"/>
              </w:rPr>
            </w:pPr>
            <w:r>
              <w:rPr>
                <w:rFonts w:ascii="宋体" w:hAnsi="宋体" w:hint="eastAsia"/>
                <w:szCs w:val="21"/>
              </w:rPr>
              <w:t>价格方面</w:t>
            </w:r>
          </w:p>
        </w:tc>
        <w:tc>
          <w:tcPr>
            <w:tcW w:w="6635" w:type="dxa"/>
            <w:gridSpan w:val="3"/>
            <w:tcBorders>
              <w:left w:val="single" w:sz="4" w:space="0" w:color="auto"/>
            </w:tcBorders>
            <w:noWrap w:val="0"/>
            <w:vAlign w:val="center"/>
          </w:tcPr>
          <w:p>
            <w:pPr>
              <w:spacing w:line="240" w:lineRule="atLeast"/>
              <w:jc w:val="center"/>
              <w:rPr>
                <w:rFonts w:ascii="宋体" w:hAnsi="宋体"/>
                <w:szCs w:val="21"/>
              </w:rPr>
            </w:pPr>
            <w:r>
              <w:rPr>
                <w:rFonts w:ascii="宋体" w:hAnsi="宋体" w:hint="eastAsia"/>
                <w:szCs w:val="21"/>
              </w:rPr>
              <w:t xml:space="preserve"> □ 优          □ 良          □ 中           □ 差</w:t>
            </w:r>
          </w:p>
        </w:tc>
      </w:tr>
      <w:tr>
        <w:tblPrEx>
          <w:tblW w:w="0" w:type="auto"/>
          <w:jc w:val="center"/>
          <w:tblLayout w:type="fixed"/>
          <w:tblCellMar>
            <w:top w:w="0" w:type="dxa"/>
            <w:left w:w="108" w:type="dxa"/>
            <w:bottom w:w="0" w:type="dxa"/>
            <w:right w:w="108" w:type="dxa"/>
          </w:tblCellMar>
        </w:tblPrEx>
        <w:trPr>
          <w:trHeight w:val="458"/>
          <w:jc w:val="center"/>
        </w:trPr>
        <w:tc>
          <w:tcPr>
            <w:tcW w:w="842" w:type="dxa"/>
            <w:vMerge/>
            <w:noWrap w:val="0"/>
            <w:vAlign w:val="center"/>
          </w:tcPr>
          <w:p>
            <w:pPr>
              <w:spacing w:line="240" w:lineRule="atLeast"/>
              <w:jc w:val="center"/>
              <w:rPr>
                <w:rFonts w:ascii="宋体" w:hAnsi="宋体"/>
                <w:szCs w:val="21"/>
              </w:rPr>
            </w:pPr>
          </w:p>
        </w:tc>
        <w:tc>
          <w:tcPr>
            <w:tcW w:w="720" w:type="dxa"/>
            <w:vMerge/>
            <w:tcBorders>
              <w:right w:val="single" w:sz="4" w:space="0" w:color="auto"/>
            </w:tcBorders>
            <w:noWrap w:val="0"/>
            <w:vAlign w:val="center"/>
          </w:tcPr>
          <w:p>
            <w:pPr>
              <w:spacing w:line="240" w:lineRule="atLeast"/>
              <w:jc w:val="center"/>
              <w:rPr>
                <w:rFonts w:ascii="宋体" w:hAnsi="宋体"/>
                <w:szCs w:val="21"/>
              </w:rPr>
            </w:pPr>
          </w:p>
        </w:tc>
        <w:tc>
          <w:tcPr>
            <w:tcW w:w="720" w:type="dxa"/>
            <w:tcBorders>
              <w:left w:val="single" w:sz="4" w:space="0" w:color="auto"/>
              <w:right w:val="single" w:sz="4" w:space="0" w:color="auto"/>
            </w:tcBorders>
            <w:noWrap w:val="0"/>
            <w:vAlign w:val="center"/>
          </w:tcPr>
          <w:p>
            <w:pPr>
              <w:spacing w:line="240" w:lineRule="atLeast"/>
              <w:jc w:val="center"/>
              <w:rPr>
                <w:rFonts w:ascii="宋体" w:hAnsi="宋体"/>
                <w:szCs w:val="21"/>
              </w:rPr>
            </w:pPr>
            <w:r>
              <w:rPr>
                <w:rFonts w:ascii="宋体" w:hAnsi="宋体" w:hint="eastAsia"/>
                <w:szCs w:val="21"/>
              </w:rPr>
              <w:t>服务方面</w:t>
            </w:r>
          </w:p>
        </w:tc>
        <w:tc>
          <w:tcPr>
            <w:tcW w:w="6635" w:type="dxa"/>
            <w:gridSpan w:val="3"/>
            <w:tcBorders>
              <w:left w:val="single" w:sz="4" w:space="0" w:color="auto"/>
            </w:tcBorders>
            <w:noWrap w:val="0"/>
            <w:vAlign w:val="center"/>
          </w:tcPr>
          <w:p>
            <w:pPr>
              <w:spacing w:line="240" w:lineRule="atLeast"/>
              <w:jc w:val="center"/>
              <w:rPr>
                <w:rFonts w:ascii="宋体" w:hAnsi="宋体"/>
                <w:szCs w:val="21"/>
              </w:rPr>
            </w:pPr>
            <w:r>
              <w:rPr>
                <w:rFonts w:ascii="宋体" w:hAnsi="宋体" w:hint="eastAsia"/>
                <w:szCs w:val="21"/>
              </w:rPr>
              <w:t xml:space="preserve"> □ 优          □ 良          □ 中           □ 差</w:t>
            </w:r>
          </w:p>
        </w:tc>
      </w:tr>
      <w:tr>
        <w:tblPrEx>
          <w:tblW w:w="0" w:type="auto"/>
          <w:jc w:val="center"/>
          <w:tblLayout w:type="fixed"/>
          <w:tblCellMar>
            <w:top w:w="0" w:type="dxa"/>
            <w:left w:w="108" w:type="dxa"/>
            <w:bottom w:w="0" w:type="dxa"/>
            <w:right w:w="108" w:type="dxa"/>
          </w:tblCellMar>
        </w:tblPrEx>
        <w:trPr>
          <w:trHeight w:val="458"/>
          <w:jc w:val="center"/>
        </w:trPr>
        <w:tc>
          <w:tcPr>
            <w:tcW w:w="842" w:type="dxa"/>
            <w:vMerge/>
            <w:noWrap w:val="0"/>
            <w:vAlign w:val="center"/>
          </w:tcPr>
          <w:p>
            <w:pPr>
              <w:spacing w:line="240" w:lineRule="atLeast"/>
              <w:jc w:val="center"/>
              <w:rPr>
                <w:rFonts w:ascii="宋体" w:hAnsi="宋体"/>
                <w:szCs w:val="21"/>
              </w:rPr>
            </w:pPr>
          </w:p>
        </w:tc>
        <w:tc>
          <w:tcPr>
            <w:tcW w:w="720" w:type="dxa"/>
            <w:vMerge/>
            <w:tcBorders>
              <w:right w:val="single" w:sz="4" w:space="0" w:color="auto"/>
            </w:tcBorders>
            <w:noWrap w:val="0"/>
            <w:vAlign w:val="center"/>
          </w:tcPr>
          <w:p>
            <w:pPr>
              <w:spacing w:line="240" w:lineRule="atLeast"/>
              <w:jc w:val="center"/>
              <w:rPr>
                <w:rFonts w:ascii="宋体" w:hAnsi="宋体"/>
                <w:szCs w:val="21"/>
              </w:rPr>
            </w:pPr>
          </w:p>
        </w:tc>
        <w:tc>
          <w:tcPr>
            <w:tcW w:w="720" w:type="dxa"/>
            <w:tcBorders>
              <w:left w:val="single" w:sz="4" w:space="0" w:color="auto"/>
              <w:right w:val="single" w:sz="4" w:space="0" w:color="auto"/>
            </w:tcBorders>
            <w:noWrap w:val="0"/>
            <w:vAlign w:val="center"/>
          </w:tcPr>
          <w:p>
            <w:pPr>
              <w:spacing w:line="240" w:lineRule="atLeast"/>
              <w:jc w:val="center"/>
              <w:rPr>
                <w:rFonts w:ascii="宋体" w:hAnsi="宋体"/>
                <w:szCs w:val="21"/>
              </w:rPr>
            </w:pPr>
            <w:r>
              <w:rPr>
                <w:rFonts w:ascii="宋体" w:hAnsi="宋体" w:hint="eastAsia"/>
                <w:szCs w:val="21"/>
              </w:rPr>
              <w:t>时间方面</w:t>
            </w:r>
          </w:p>
        </w:tc>
        <w:tc>
          <w:tcPr>
            <w:tcW w:w="6635" w:type="dxa"/>
            <w:gridSpan w:val="3"/>
            <w:tcBorders>
              <w:left w:val="single" w:sz="4" w:space="0" w:color="auto"/>
            </w:tcBorders>
            <w:noWrap w:val="0"/>
            <w:vAlign w:val="center"/>
          </w:tcPr>
          <w:p>
            <w:pPr>
              <w:spacing w:line="240" w:lineRule="atLeast"/>
              <w:jc w:val="center"/>
              <w:rPr>
                <w:rFonts w:ascii="宋体" w:hAnsi="宋体"/>
                <w:szCs w:val="21"/>
              </w:rPr>
            </w:pPr>
            <w:r>
              <w:rPr>
                <w:rFonts w:ascii="宋体" w:hAnsi="宋体" w:hint="eastAsia"/>
                <w:szCs w:val="21"/>
              </w:rPr>
              <w:t xml:space="preserve"> □ 优          □ 良          □ 中           □ 差</w:t>
            </w:r>
          </w:p>
        </w:tc>
      </w:tr>
      <w:tr>
        <w:tblPrEx>
          <w:tblW w:w="0" w:type="auto"/>
          <w:jc w:val="center"/>
          <w:tblLayout w:type="fixed"/>
          <w:tblCellMar>
            <w:top w:w="0" w:type="dxa"/>
            <w:left w:w="108" w:type="dxa"/>
            <w:bottom w:w="0" w:type="dxa"/>
            <w:right w:w="108" w:type="dxa"/>
          </w:tblCellMar>
        </w:tblPrEx>
        <w:trPr>
          <w:trHeight w:val="458"/>
          <w:jc w:val="center"/>
        </w:trPr>
        <w:tc>
          <w:tcPr>
            <w:tcW w:w="842" w:type="dxa"/>
            <w:vMerge/>
            <w:noWrap w:val="0"/>
            <w:vAlign w:val="center"/>
          </w:tcPr>
          <w:p>
            <w:pPr>
              <w:spacing w:line="240" w:lineRule="atLeast"/>
              <w:jc w:val="center"/>
              <w:rPr>
                <w:rFonts w:ascii="宋体" w:hAnsi="宋体"/>
                <w:szCs w:val="21"/>
              </w:rPr>
            </w:pPr>
          </w:p>
        </w:tc>
        <w:tc>
          <w:tcPr>
            <w:tcW w:w="720" w:type="dxa"/>
            <w:vMerge/>
            <w:tcBorders>
              <w:right w:val="single" w:sz="4" w:space="0" w:color="auto"/>
            </w:tcBorders>
            <w:noWrap w:val="0"/>
            <w:vAlign w:val="center"/>
          </w:tcPr>
          <w:p>
            <w:pPr>
              <w:spacing w:line="240" w:lineRule="atLeast"/>
              <w:jc w:val="center"/>
              <w:rPr>
                <w:rFonts w:ascii="宋体" w:hAnsi="宋体"/>
                <w:szCs w:val="21"/>
              </w:rPr>
            </w:pPr>
          </w:p>
        </w:tc>
        <w:tc>
          <w:tcPr>
            <w:tcW w:w="720" w:type="dxa"/>
            <w:tcBorders>
              <w:left w:val="single" w:sz="4" w:space="0" w:color="auto"/>
              <w:right w:val="single" w:sz="4" w:space="0" w:color="auto"/>
            </w:tcBorders>
            <w:noWrap w:val="0"/>
            <w:vAlign w:val="center"/>
          </w:tcPr>
          <w:p>
            <w:pPr>
              <w:spacing w:line="240" w:lineRule="atLeast"/>
              <w:jc w:val="center"/>
              <w:rPr>
                <w:rFonts w:ascii="宋体" w:hAnsi="宋体"/>
                <w:szCs w:val="21"/>
              </w:rPr>
            </w:pPr>
            <w:r>
              <w:rPr>
                <w:rFonts w:ascii="宋体" w:hAnsi="宋体" w:hint="eastAsia"/>
                <w:szCs w:val="21"/>
              </w:rPr>
              <w:t>环境保护</w:t>
            </w:r>
          </w:p>
        </w:tc>
        <w:tc>
          <w:tcPr>
            <w:tcW w:w="6635" w:type="dxa"/>
            <w:gridSpan w:val="3"/>
            <w:tcBorders>
              <w:left w:val="single" w:sz="4" w:space="0" w:color="auto"/>
            </w:tcBorders>
            <w:noWrap w:val="0"/>
            <w:vAlign w:val="center"/>
          </w:tcPr>
          <w:p>
            <w:pPr>
              <w:spacing w:line="240" w:lineRule="atLeast"/>
              <w:jc w:val="center"/>
              <w:rPr>
                <w:rFonts w:ascii="宋体" w:hAnsi="宋体"/>
                <w:szCs w:val="21"/>
              </w:rPr>
            </w:pPr>
            <w:r>
              <w:rPr>
                <w:rFonts w:ascii="宋体" w:hAnsi="宋体" w:hint="eastAsia"/>
                <w:szCs w:val="21"/>
              </w:rPr>
              <w:t xml:space="preserve"> □ 优          □ 良          □ 中           □ 差</w:t>
            </w:r>
          </w:p>
        </w:tc>
      </w:tr>
      <w:tr>
        <w:tblPrEx>
          <w:tblW w:w="0" w:type="auto"/>
          <w:jc w:val="center"/>
          <w:tblLayout w:type="fixed"/>
          <w:tblCellMar>
            <w:top w:w="0" w:type="dxa"/>
            <w:left w:w="108" w:type="dxa"/>
            <w:bottom w:w="0" w:type="dxa"/>
            <w:right w:w="108" w:type="dxa"/>
          </w:tblCellMar>
        </w:tblPrEx>
        <w:trPr>
          <w:trHeight w:val="458"/>
          <w:jc w:val="center"/>
        </w:trPr>
        <w:tc>
          <w:tcPr>
            <w:tcW w:w="842" w:type="dxa"/>
            <w:vMerge/>
            <w:noWrap w:val="0"/>
            <w:vAlign w:val="center"/>
          </w:tcPr>
          <w:p>
            <w:pPr>
              <w:spacing w:line="240" w:lineRule="atLeast"/>
              <w:jc w:val="center"/>
              <w:rPr>
                <w:rFonts w:ascii="宋体" w:hAnsi="宋体"/>
                <w:szCs w:val="21"/>
              </w:rPr>
            </w:pPr>
          </w:p>
        </w:tc>
        <w:tc>
          <w:tcPr>
            <w:tcW w:w="720" w:type="dxa"/>
            <w:vMerge/>
            <w:tcBorders>
              <w:right w:val="single" w:sz="4" w:space="0" w:color="auto"/>
            </w:tcBorders>
            <w:noWrap w:val="0"/>
            <w:vAlign w:val="center"/>
          </w:tcPr>
          <w:p>
            <w:pPr>
              <w:spacing w:line="240" w:lineRule="atLeast"/>
              <w:jc w:val="center"/>
              <w:rPr>
                <w:rFonts w:ascii="宋体" w:hAnsi="宋体"/>
                <w:szCs w:val="21"/>
              </w:rPr>
            </w:pPr>
          </w:p>
        </w:tc>
        <w:tc>
          <w:tcPr>
            <w:tcW w:w="720" w:type="dxa"/>
            <w:tcBorders>
              <w:left w:val="single" w:sz="4" w:space="0" w:color="auto"/>
              <w:right w:val="single" w:sz="4" w:space="0" w:color="auto"/>
            </w:tcBorders>
            <w:noWrap w:val="0"/>
            <w:vAlign w:val="center"/>
          </w:tcPr>
          <w:p>
            <w:pPr>
              <w:spacing w:line="240" w:lineRule="atLeast"/>
              <w:jc w:val="center"/>
              <w:rPr>
                <w:rFonts w:ascii="宋体" w:hAnsi="宋体"/>
                <w:szCs w:val="21"/>
              </w:rPr>
            </w:pPr>
            <w:r>
              <w:rPr>
                <w:rFonts w:ascii="宋体" w:hAnsi="宋体" w:hint="eastAsia"/>
                <w:szCs w:val="21"/>
              </w:rPr>
              <w:t>其他</w:t>
            </w:r>
          </w:p>
        </w:tc>
        <w:tc>
          <w:tcPr>
            <w:tcW w:w="6635" w:type="dxa"/>
            <w:gridSpan w:val="3"/>
            <w:tcBorders>
              <w:left w:val="single" w:sz="4" w:space="0" w:color="auto"/>
            </w:tcBorders>
            <w:noWrap w:val="0"/>
            <w:vAlign w:val="center"/>
          </w:tcPr>
          <w:p>
            <w:pPr>
              <w:spacing w:before="156" w:beforeLines="50" w:after="156" w:afterLines="50" w:line="240" w:lineRule="atLeast"/>
              <w:rPr>
                <w:rFonts w:ascii="宋体" w:hAnsi="宋体"/>
                <w:szCs w:val="21"/>
                <w:u w:val="single"/>
              </w:rPr>
            </w:pPr>
            <w:r>
              <w:rPr>
                <w:rFonts w:ascii="宋体" w:hAnsi="宋体" w:hint="eastAsia"/>
                <w:szCs w:val="21"/>
              </w:rPr>
              <w:t>评价内容为：</w:t>
            </w:r>
            <w:r>
              <w:rPr>
                <w:rFonts w:ascii="宋体" w:hAnsi="宋体" w:hint="eastAsia"/>
                <w:szCs w:val="21"/>
                <w:u w:val="single"/>
              </w:rPr>
              <w:t xml:space="preserve">                    </w:t>
            </w:r>
          </w:p>
          <w:p>
            <w:pPr>
              <w:spacing w:before="156" w:beforeLines="50" w:after="156" w:afterLines="50" w:line="240" w:lineRule="atLeast"/>
              <w:rPr>
                <w:rFonts w:ascii="宋体" w:hAnsi="宋体"/>
                <w:szCs w:val="21"/>
              </w:rPr>
            </w:pPr>
            <w:r>
              <w:rPr>
                <w:rFonts w:ascii="宋体" w:hAnsi="宋体" w:hint="eastAsia"/>
                <w:szCs w:val="21"/>
              </w:rPr>
              <w:t>评价等级为：  □ 优       □ 良        □ 中         □ 差</w:t>
            </w:r>
          </w:p>
        </w:tc>
      </w:tr>
      <w:tr>
        <w:tblPrEx>
          <w:tblW w:w="0" w:type="auto"/>
          <w:jc w:val="center"/>
          <w:tblLayout w:type="fixed"/>
          <w:tblCellMar>
            <w:top w:w="0" w:type="dxa"/>
            <w:left w:w="108" w:type="dxa"/>
            <w:bottom w:w="0" w:type="dxa"/>
            <w:right w:w="108" w:type="dxa"/>
          </w:tblCellMar>
        </w:tblPrEx>
        <w:trPr>
          <w:trHeight w:val="3261"/>
          <w:jc w:val="center"/>
        </w:trPr>
        <w:tc>
          <w:tcPr>
            <w:tcW w:w="1562" w:type="dxa"/>
            <w:gridSpan w:val="2"/>
            <w:noWrap w:val="0"/>
            <w:vAlign w:val="center"/>
          </w:tcPr>
          <w:p>
            <w:pPr>
              <w:spacing w:line="240" w:lineRule="atLeast"/>
              <w:jc w:val="center"/>
              <w:rPr>
                <w:rFonts w:ascii="宋体" w:hAnsi="宋体"/>
                <w:szCs w:val="21"/>
              </w:rPr>
            </w:pPr>
            <w:r>
              <w:rPr>
                <w:rFonts w:ascii="宋体" w:hAnsi="宋体" w:hint="eastAsia"/>
                <w:szCs w:val="21"/>
              </w:rPr>
              <w:t>具体情况说明</w:t>
            </w:r>
          </w:p>
        </w:tc>
        <w:tc>
          <w:tcPr>
            <w:tcW w:w="7355" w:type="dxa"/>
            <w:gridSpan w:val="4"/>
            <w:noWrap w:val="0"/>
            <w:vAlign w:val="top"/>
          </w:tcPr>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tc>
      </w:tr>
      <w:tr>
        <w:tblPrEx>
          <w:tblW w:w="0" w:type="auto"/>
          <w:jc w:val="center"/>
          <w:tblLayout w:type="fixed"/>
          <w:tblCellMar>
            <w:top w:w="0" w:type="dxa"/>
            <w:left w:w="108" w:type="dxa"/>
            <w:bottom w:w="0" w:type="dxa"/>
            <w:right w:w="108" w:type="dxa"/>
          </w:tblCellMar>
        </w:tblPrEx>
        <w:trPr>
          <w:trHeight w:val="1809"/>
          <w:jc w:val="center"/>
        </w:trPr>
        <w:tc>
          <w:tcPr>
            <w:tcW w:w="1562" w:type="dxa"/>
            <w:gridSpan w:val="2"/>
            <w:noWrap w:val="0"/>
            <w:vAlign w:val="center"/>
          </w:tcPr>
          <w:p>
            <w:pPr>
              <w:spacing w:line="240" w:lineRule="atLeast"/>
              <w:jc w:val="center"/>
              <w:rPr>
                <w:rFonts w:ascii="宋体" w:hAnsi="宋体"/>
                <w:szCs w:val="21"/>
              </w:rPr>
            </w:pPr>
            <w:r>
              <w:rPr>
                <w:rFonts w:ascii="宋体" w:hAnsi="宋体" w:hint="eastAsia"/>
                <w:szCs w:val="21"/>
              </w:rPr>
              <w:t>采购人意见</w:t>
            </w:r>
          </w:p>
          <w:p>
            <w:pPr>
              <w:spacing w:line="240" w:lineRule="atLeast"/>
              <w:jc w:val="center"/>
              <w:rPr>
                <w:rFonts w:ascii="宋体" w:hAnsi="宋体"/>
                <w:szCs w:val="21"/>
              </w:rPr>
            </w:pPr>
            <w:r>
              <w:rPr>
                <w:rFonts w:ascii="宋体" w:hAnsi="宋体" w:hint="eastAsia"/>
                <w:szCs w:val="21"/>
              </w:rPr>
              <w:t>（公章）</w:t>
            </w:r>
          </w:p>
        </w:tc>
        <w:tc>
          <w:tcPr>
            <w:tcW w:w="7355" w:type="dxa"/>
            <w:gridSpan w:val="4"/>
            <w:noWrap w:val="0"/>
            <w:vAlign w:val="center"/>
          </w:tcPr>
          <w:p>
            <w:pPr>
              <w:spacing w:line="240" w:lineRule="atLeast"/>
              <w:rPr>
                <w:rFonts w:ascii="宋体" w:hAnsi="宋体"/>
                <w:szCs w:val="21"/>
              </w:rPr>
            </w:pPr>
          </w:p>
          <w:p>
            <w:pPr>
              <w:spacing w:line="240" w:lineRule="atLeast"/>
              <w:rPr>
                <w:rFonts w:ascii="宋体" w:hAnsi="宋体"/>
                <w:szCs w:val="21"/>
              </w:rPr>
            </w:pPr>
            <w:r>
              <w:rPr>
                <w:rFonts w:ascii="宋体" w:hAnsi="宋体" w:hint="eastAsia"/>
                <w:szCs w:val="21"/>
              </w:rPr>
              <w:t xml:space="preserve">                                        </w:t>
            </w:r>
          </w:p>
          <w:p>
            <w:pPr>
              <w:spacing w:line="240" w:lineRule="atLeast"/>
              <w:ind w:firstLine="3780" w:firstLineChars="1800"/>
              <w:rPr>
                <w:rFonts w:ascii="宋体" w:hAnsi="宋体"/>
                <w:szCs w:val="21"/>
              </w:rPr>
            </w:pPr>
          </w:p>
          <w:p>
            <w:pPr>
              <w:spacing w:line="240" w:lineRule="atLeast"/>
              <w:ind w:firstLine="3780" w:firstLineChars="1800"/>
              <w:rPr>
                <w:rFonts w:ascii="宋体" w:hAnsi="宋体"/>
                <w:szCs w:val="21"/>
              </w:rPr>
            </w:pPr>
            <w:r>
              <w:rPr>
                <w:rFonts w:ascii="宋体" w:hAnsi="宋体" w:hint="eastAsia"/>
                <w:szCs w:val="21"/>
              </w:rPr>
              <w:t>日期：   年   月   日</w:t>
            </w:r>
          </w:p>
        </w:tc>
      </w:tr>
    </w:tbl>
    <w:p>
      <w:pPr>
        <w:spacing w:line="240" w:lineRule="atLeast"/>
        <w:rPr>
          <w:rFonts w:ascii="宋体" w:hAnsi="宋体"/>
          <w:szCs w:val="21"/>
        </w:rPr>
      </w:pPr>
      <w:r>
        <w:rPr>
          <w:rFonts w:ascii="宋体" w:hAnsi="宋体" w:hint="eastAsia"/>
          <w:szCs w:val="21"/>
        </w:rPr>
        <w:t>说明：</w:t>
      </w:r>
    </w:p>
    <w:p>
      <w:pPr>
        <w:spacing w:line="240" w:lineRule="atLeast"/>
        <w:rPr>
          <w:rFonts w:ascii="宋体" w:hAnsi="宋体"/>
          <w:szCs w:val="21"/>
        </w:rPr>
      </w:pPr>
      <w:r>
        <w:rPr>
          <w:rFonts w:ascii="宋体" w:hAnsi="宋体" w:hint="eastAsia"/>
          <w:szCs w:val="21"/>
        </w:rPr>
        <w:t>履约情况评价分为优、良、中、差四个等级，请在对应的框前打“√”，然后在“具体情况说明”一栏详细说明有关情况。</w:t>
      </w:r>
      <w:r>
        <w:rPr>
          <w:rFonts w:ascii="宋体" w:hAnsi="宋体"/>
          <w:szCs w:val="21"/>
        </w:rPr>
        <w:tab/>
      </w:r>
      <w:r>
        <w:rPr>
          <w:rFonts w:ascii="宋体" w:hAnsi="宋体"/>
          <w:szCs w:val="21"/>
        </w:rPr>
        <w:tab/>
      </w:r>
    </w:p>
    <w:p>
      <w:pPr>
        <w:spacing w:line="240" w:lineRule="atLeast"/>
        <w:rPr>
          <w:rFonts w:ascii="宋体" w:hAnsi="宋体"/>
          <w:szCs w:val="21"/>
        </w:rPr>
        <w:sectPr>
          <w:footerReference w:type="default" r:id="rId7"/>
          <w:pgSz w:w="11906" w:h="16838"/>
          <w:pgMar w:top="1440" w:right="1417" w:bottom="1440" w:left="1417" w:header="851" w:footer="992" w:gutter="0"/>
          <w:cols w:num="1" w:space="720"/>
          <w:titlePg/>
          <w:docGrid w:type="lines" w:linePitch="312" w:charSpace="0"/>
        </w:sectPr>
      </w:pPr>
    </w:p>
    <w:p>
      <w:pPr>
        <w:jc w:val="center"/>
        <w:rPr>
          <w:rFonts w:ascii="宋体" w:hAnsi="宋体"/>
          <w:b/>
          <w:bCs/>
          <w:kern w:val="0"/>
          <w:sz w:val="24"/>
          <w:szCs w:val="20"/>
        </w:rPr>
      </w:pPr>
      <w:r>
        <w:rPr>
          <w:rFonts w:ascii="宋体" w:hAnsi="宋体" w:hint="eastAsia"/>
          <w:b/>
          <w:bCs/>
          <w:kern w:val="0"/>
          <w:sz w:val="24"/>
          <w:szCs w:val="20"/>
        </w:rPr>
        <w:t>第五章  附件</w:t>
      </w:r>
    </w:p>
    <w:p>
      <w:pPr>
        <w:jc w:val="center"/>
        <w:rPr>
          <w:rFonts w:ascii="宋体" w:hAnsi="宋体"/>
          <w:b/>
          <w:bCs/>
          <w:kern w:val="0"/>
          <w:sz w:val="24"/>
          <w:szCs w:val="20"/>
        </w:rPr>
      </w:pPr>
    </w:p>
    <w:p>
      <w:pPr>
        <w:pStyle w:val="Heading3"/>
        <w:spacing w:before="0" w:after="0"/>
        <w:jc w:val="center"/>
      </w:pPr>
      <w:bookmarkStart w:id="19" w:name="_Toc73613644"/>
      <w:bookmarkStart w:id="20" w:name="_Toc73610162"/>
      <w:r>
        <w:rPr>
          <w:rFonts w:hint="eastAsia"/>
        </w:rPr>
        <w:t>一、财政部 工业和信息化部关于印发《政府采购促进中小企业发展管理办法》的通知</w:t>
      </w:r>
      <w:bookmarkEnd w:id="19"/>
      <w:bookmarkEnd w:id="20"/>
    </w:p>
    <w:p>
      <w:pPr>
        <w:pStyle w:val="NormalWeb"/>
        <w:shd w:val="clear" w:color="auto" w:fill="FFFFFF"/>
        <w:spacing w:line="360" w:lineRule="auto"/>
        <w:jc w:val="center"/>
        <w:rPr>
          <w:rFonts w:ascii="宋体" w:eastAsia="宋体" w:hAnsi="宋体"/>
          <w:color w:val="000000"/>
          <w:sz w:val="21"/>
          <w:szCs w:val="21"/>
        </w:rPr>
      </w:pPr>
      <w:r>
        <w:rPr>
          <w:rFonts w:ascii="宋体" w:eastAsia="宋体" w:hAnsi="宋体" w:hint="eastAsia"/>
          <w:color w:val="000000"/>
          <w:sz w:val="21"/>
          <w:szCs w:val="21"/>
        </w:rPr>
        <w:t>财库〔2020〕46号</w:t>
      </w:r>
    </w:p>
    <w:p>
      <w:pPr>
        <w:pStyle w:val="NormalWeb"/>
        <w:shd w:val="clear" w:color="auto" w:fill="FFFFFF"/>
        <w:spacing w:before="0" w:beforeAutospacing="0" w:after="0" w:afterAutospacing="0" w:line="360" w:lineRule="auto"/>
        <w:jc w:val="both"/>
        <w:rPr>
          <w:rFonts w:ascii="宋体" w:eastAsia="宋体" w:hAnsi="宋体"/>
          <w:color w:val="333333"/>
          <w:sz w:val="21"/>
          <w:szCs w:val="21"/>
        </w:rPr>
      </w:pPr>
      <w:r>
        <w:rPr>
          <w:rFonts w:ascii="宋体" w:eastAsia="宋体" w:hAnsi="宋体" w:hint="eastAsia"/>
          <w:color w:val="333333"/>
          <w:sz w:val="21"/>
          <w:szCs w:val="21"/>
        </w:rPr>
        <w:t>各中央预算单位办公厅（室），各省、自治区、直辖市、计划单列市财政厅（局）、工业和信息化主管部门，新疆生产建设兵团财政局、工业和信息化主管部门：</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附件：政府采购促进中小企业发展管理办法</w:t>
      </w:r>
    </w:p>
    <w:p>
      <w:pPr>
        <w:pStyle w:val="NormalWeb"/>
        <w:shd w:val="clear" w:color="auto" w:fill="FFFFFF"/>
        <w:spacing w:before="0" w:beforeAutospacing="0" w:after="0" w:afterAutospacing="0" w:line="360" w:lineRule="auto"/>
        <w:jc w:val="right"/>
        <w:rPr>
          <w:rFonts w:ascii="宋体" w:eastAsia="宋体" w:hAnsi="宋体"/>
          <w:color w:val="333333"/>
          <w:sz w:val="21"/>
          <w:szCs w:val="21"/>
        </w:rPr>
      </w:pPr>
      <w:r>
        <w:rPr>
          <w:rFonts w:ascii="宋体" w:eastAsia="宋体" w:hAnsi="宋体" w:hint="eastAsia"/>
          <w:color w:val="333333"/>
          <w:sz w:val="21"/>
          <w:szCs w:val="21"/>
        </w:rPr>
        <w:t>财　　政　　部</w:t>
      </w:r>
    </w:p>
    <w:p>
      <w:pPr>
        <w:pStyle w:val="NormalWeb"/>
        <w:shd w:val="clear" w:color="auto" w:fill="FFFFFF"/>
        <w:spacing w:before="0" w:beforeAutospacing="0" w:after="0" w:afterAutospacing="0" w:line="360" w:lineRule="auto"/>
        <w:jc w:val="right"/>
        <w:rPr>
          <w:rFonts w:ascii="宋体" w:eastAsia="宋体" w:hAnsi="宋体"/>
          <w:color w:val="333333"/>
          <w:sz w:val="21"/>
          <w:szCs w:val="21"/>
        </w:rPr>
      </w:pPr>
      <w:r>
        <w:rPr>
          <w:rFonts w:ascii="宋体" w:eastAsia="宋体" w:hAnsi="宋体" w:hint="eastAsia"/>
          <w:color w:val="333333"/>
          <w:sz w:val="21"/>
          <w:szCs w:val="21"/>
        </w:rPr>
        <w:t>工业和信息化部</w:t>
      </w:r>
    </w:p>
    <w:p>
      <w:pPr>
        <w:pStyle w:val="NormalWeb"/>
        <w:shd w:val="clear" w:color="auto" w:fill="FFFFFF"/>
        <w:spacing w:before="0" w:beforeAutospacing="0" w:after="0" w:afterAutospacing="0" w:line="360" w:lineRule="auto"/>
        <w:jc w:val="right"/>
        <w:rPr>
          <w:rFonts w:ascii="宋体" w:eastAsia="宋体" w:hAnsi="宋体"/>
          <w:color w:val="333333"/>
          <w:sz w:val="21"/>
          <w:szCs w:val="21"/>
        </w:rPr>
      </w:pPr>
      <w:r>
        <w:rPr>
          <w:rFonts w:ascii="宋体" w:eastAsia="宋体" w:hAnsi="宋体" w:hint="eastAsia"/>
          <w:color w:val="333333"/>
          <w:sz w:val="21"/>
          <w:szCs w:val="21"/>
        </w:rPr>
        <w:t>2020年12月18日</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p>
    <w:p>
      <w:pPr>
        <w:pStyle w:val="NormalWeb"/>
        <w:shd w:val="clear" w:color="auto" w:fill="FFFFFF"/>
        <w:spacing w:before="0" w:beforeAutospacing="0" w:after="0" w:afterAutospacing="0" w:line="360" w:lineRule="auto"/>
        <w:jc w:val="both"/>
        <w:rPr>
          <w:rFonts w:ascii="宋体" w:eastAsia="宋体" w:hAnsi="宋体"/>
          <w:color w:val="333333"/>
          <w:sz w:val="21"/>
          <w:szCs w:val="21"/>
        </w:rPr>
      </w:pPr>
      <w:r>
        <w:rPr>
          <w:rFonts w:ascii="宋体" w:eastAsia="宋体" w:hAnsi="宋体" w:hint="eastAsia"/>
          <w:b/>
          <w:bCs/>
          <w:color w:val="333333"/>
          <w:sz w:val="21"/>
          <w:szCs w:val="21"/>
        </w:rPr>
        <w:t>附件</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p>
    <w:p>
      <w:pPr>
        <w:pStyle w:val="NormalWeb"/>
        <w:shd w:val="clear" w:color="auto" w:fill="FFFFFF"/>
        <w:spacing w:before="0" w:beforeAutospacing="0" w:after="0" w:afterAutospacing="0" w:line="360" w:lineRule="auto"/>
        <w:jc w:val="center"/>
        <w:rPr>
          <w:rFonts w:ascii="宋体" w:eastAsia="宋体" w:hAnsi="宋体"/>
          <w:color w:val="333333"/>
          <w:sz w:val="21"/>
          <w:szCs w:val="21"/>
        </w:rPr>
      </w:pPr>
      <w:r>
        <w:rPr>
          <w:rFonts w:ascii="宋体" w:eastAsia="宋体" w:hAnsi="宋体" w:hint="eastAsia"/>
          <w:b/>
          <w:bCs/>
          <w:color w:val="333333"/>
          <w:sz w:val="21"/>
          <w:szCs w:val="21"/>
        </w:rPr>
        <w:t>政府采购促进中小企业发展管理办法</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第一条</w:t>
      </w:r>
      <w:r>
        <w:rPr>
          <w:rFonts w:ascii="宋体" w:eastAsia="宋体" w:hAnsi="宋体" w:hint="eastAsia"/>
          <w:color w:val="333333"/>
          <w:sz w:val="21"/>
          <w:szCs w:val="21"/>
        </w:rPr>
        <w:t>　为了发挥政府采购的政策功能，促进中小企业健康发展，根据《中华人民共和国政府采购法》、《中华人民共和国中小企业促进法》等有关法律法规，制定本办法。</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第二条</w:t>
      </w:r>
      <w:r>
        <w:rPr>
          <w:rFonts w:ascii="宋体" w:eastAsia="宋体" w:hAnsi="宋体" w:hint="eastAsia"/>
          <w:color w:val="333333"/>
          <w:sz w:val="21"/>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符合中小企业划分标准的个体工商户，在政府采购活动中视同中小企业。</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第三条</w:t>
      </w:r>
      <w:r>
        <w:rPr>
          <w:rFonts w:ascii="宋体" w:eastAsia="宋体" w:hAnsi="宋体" w:hint="eastAsia"/>
          <w:color w:val="333333"/>
          <w:sz w:val="21"/>
          <w:szCs w:val="21"/>
        </w:rPr>
        <w:t>　采购人在政府采购活动中应当通过加强采购需求管理，落实预留采购份额、价格评审优惠、优先采购等措施，提高中小企业在政府采购中的份额，支持中小企业发展。</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第四条</w:t>
      </w:r>
      <w:r>
        <w:rPr>
          <w:rFonts w:ascii="宋体" w:eastAsia="宋体" w:hAnsi="宋体" w:hint="eastAsia"/>
          <w:color w:val="333333"/>
          <w:sz w:val="21"/>
          <w:szCs w:val="21"/>
        </w:rPr>
        <w:t>　在政府采购活动中，供应商提供的货物、工程或者服务符合下列情形的，享受本办法规定的中小企业扶持政策：</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（一）在货物采购项目中，货物由中小企业制造，即货物由中小企业生产且使用该中小企业商号或者注册商标；</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（二）在工程采购项目中，工程由中小企业承建，即工程施工单位为中小企业；</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（三）在服务采购项目中，服务由中小企业承接，即提供服务的人员为中小企业依照《中华人民共和国劳动合同法》订立劳动合同的从业人员。</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在货物采购项目中，供应商提供的货物既有中小企业制造货物，也有大型企业制造货物的，不享受本办法规定的中小企业扶持政策。</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以联合体形式参加政府采购活动，联合体各方均为中小企业的，联合体视同中小企业。其中，联合体各方均为小微企业的，联合体视同小微企业。</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第五条</w:t>
      </w:r>
      <w:r>
        <w:rPr>
          <w:rFonts w:ascii="宋体" w:eastAsia="宋体" w:hAnsi="宋体" w:hint="eastAsia"/>
          <w:color w:val="333333"/>
          <w:sz w:val="21"/>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第六条</w:t>
      </w:r>
      <w:r>
        <w:rPr>
          <w:rFonts w:ascii="宋体" w:eastAsia="宋体" w:hAnsi="宋体" w:hint="eastAsia"/>
          <w:color w:val="333333"/>
          <w:sz w:val="21"/>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符合下列情形之一的，可不专门面向中小企业预留采购份额：</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（一）法律法规和国家有关政策明确规定优先或者应当面向事业单位、社会组织等非企业主体采购的；</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（二）因确需使用不可替代的专利、专有技术，基础设施限制，或者提供特定公共服务等原因，只能从中小企业之外的供应商处采购的；</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（三）按照本办法规定预留采购份额无法确保充分供应、充分竞争，或者存在可能影响政府采购目标实现的情形；</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（四）框架协议采购项目；</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（五）省级以上人民政府财政部门规定的其他情形。</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除上述情形外，其他均为适宜由中小企业提供的情形。</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第七条</w:t>
      </w:r>
      <w:r>
        <w:rPr>
          <w:rFonts w:ascii="宋体" w:eastAsia="宋体" w:hAnsi="宋体" w:hint="eastAsia"/>
          <w:color w:val="333333"/>
          <w:sz w:val="21"/>
          <w:szCs w:val="21"/>
        </w:rPr>
        <w:t>　采购限额标准以上，200万元以下的货物和服务采购项目、400万元以下的工程采购项目，适宜由中小企业提供的，采购人应当专门面向中小企业采购。</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第八条</w:t>
      </w:r>
      <w:r>
        <w:rPr>
          <w:rFonts w:ascii="宋体" w:eastAsia="宋体" w:hAnsi="宋体" w:hint="eastAsia"/>
          <w:color w:val="333333"/>
          <w:sz w:val="21"/>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（一）将采购项目整体或者设置采购包专门面向中小企业采购；</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（二）要求供应商以联合体形式参加采购活动，且联合体中中小企业承担的部分达到一定比例；</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（三）要求获得采购合同的供应商将采购项目中的一定比例分包给一家或者多家中小企业。</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组成联合体或者接受分包合同的中小企业与联合体内其他企业、分包企业之间不得存在直接控股、管理关系。</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第九条</w:t>
      </w:r>
      <w:r>
        <w:rPr>
          <w:rFonts w:ascii="宋体" w:eastAsia="宋体" w:hAnsi="宋体" w:hint="eastAsia"/>
          <w:color w:val="333333"/>
          <w:sz w:val="21"/>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第十条</w:t>
      </w:r>
      <w:r>
        <w:rPr>
          <w:rFonts w:ascii="宋体" w:eastAsia="宋体" w:hAnsi="宋体" w:hint="eastAsia"/>
          <w:color w:val="333333"/>
          <w:sz w:val="21"/>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第十一条</w:t>
      </w:r>
      <w:r>
        <w:rPr>
          <w:rFonts w:ascii="宋体" w:eastAsia="宋体" w:hAnsi="宋体" w:hint="eastAsia"/>
          <w:color w:val="333333"/>
          <w:sz w:val="21"/>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第十二条</w:t>
      </w:r>
      <w:r>
        <w:rPr>
          <w:rFonts w:ascii="宋体" w:eastAsia="宋体" w:hAnsi="宋体" w:hint="eastAsia"/>
          <w:color w:val="333333"/>
          <w:sz w:val="21"/>
          <w:szCs w:val="21"/>
        </w:rPr>
        <w:t>　采购项目涉及中小企业采购的，采购文件应当明确以下内容：</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（一）预留份额的采购项目或者采购包，明确该项目或相关采购包专门面向中小企业采购，以及相关标的及预算金额；</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（二）要求以联合体形式参加或者合同分包的，明确联合协议或者分包意向协议中中小企业合同金额应当达到的比例，并作为供应商资格条件；</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（三）非预留份额的采购项目或者采购包，明确有关价格扣除比例或者价格分加分比例；</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（四）规定依据本办法规定享受扶持政策获得政府采购合同的，小微企业不得将合同分包给大中型企业，中型企业不得将合同分包给大型企业；</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（五）采购人认为具备相关条件的，明确对中小企业在资金支付期限、预付款比例等方面的优惠措施；</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（六）明确采购标的对应的中小企业划分标准所属行业；</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（七）法律法规和省级以上人民政府财政部门规定的其他事项。</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第十三条</w:t>
      </w:r>
      <w:r>
        <w:rPr>
          <w:rFonts w:ascii="宋体" w:eastAsia="宋体" w:hAnsi="宋体" w:hint="eastAsia"/>
          <w:color w:val="333333"/>
          <w:sz w:val="21"/>
          <w:szCs w:val="21"/>
        </w:rPr>
        <w:t>　中标、成交供应商享受本办法规定的中小企业扶持政策的，采购人、采购代理机构应当随中标、成交结果公开中标、成交供应商的《中小企业声明函》。</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适用招标投标法的政府采购工程建设项目，应当在公示中标候选人时公开中标候选人的《中小企业声明函》。</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第十四条</w:t>
      </w:r>
      <w:r>
        <w:rPr>
          <w:rFonts w:ascii="宋体" w:eastAsia="宋体" w:hAnsi="宋体" w:hint="eastAsia"/>
          <w:color w:val="333333"/>
          <w:sz w:val="21"/>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第十五条</w:t>
      </w:r>
      <w:r>
        <w:rPr>
          <w:rFonts w:ascii="宋体" w:eastAsia="宋体" w:hAnsi="宋体" w:hint="eastAsia"/>
          <w:color w:val="333333"/>
          <w:sz w:val="21"/>
          <w:szCs w:val="21"/>
        </w:rPr>
        <w:t>　鼓励各地区、各部门在采购活动中允许中小企业引入信用担保手段，为中小企业在投标（响应）保证、履约保证等方面提供专业化服务。鼓励中小企业依法合规通过政府采购合同融资。</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第十六条</w:t>
      </w:r>
      <w:r>
        <w:rPr>
          <w:rFonts w:ascii="宋体" w:eastAsia="宋体" w:hAnsi="宋体" w:hint="eastAsia"/>
          <w:color w:val="333333"/>
          <w:sz w:val="21"/>
          <w:szCs w:val="21"/>
        </w:rPr>
        <w:t>　政府采购监督检查、投诉处理及政府采购行政处罚中对中小企业的认定，由货物制造商或者工程、服务供应商注册登记所在地的县级以上人民政府中小企业主管部门负责。</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中小企业主管部门应当在收到财政部门或者有关招标投标行政监督部门关于协助开展中小企业认定函后10个工作日内做出书面答复。</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第十七条</w:t>
      </w:r>
      <w:r>
        <w:rPr>
          <w:rFonts w:ascii="宋体" w:eastAsia="宋体" w:hAnsi="宋体" w:hint="eastAsia"/>
          <w:color w:val="333333"/>
          <w:sz w:val="21"/>
          <w:szCs w:val="21"/>
        </w:rPr>
        <w:t>　各地区、各部门应当对涉及中小企业采购的预算项目实施全过程绩效管理，合理设置绩效目标和指标，落实扶持中小企业有关政策要求，定期开展绩效监控和评价，强化绩效评价结果应用。</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第十八条</w:t>
      </w:r>
      <w:r>
        <w:rPr>
          <w:rFonts w:ascii="宋体" w:eastAsia="宋体" w:hAnsi="宋体" w:hint="eastAsia"/>
          <w:color w:val="333333"/>
          <w:sz w:val="21"/>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第十九条</w:t>
      </w:r>
      <w:r>
        <w:rPr>
          <w:rFonts w:ascii="宋体" w:eastAsia="宋体" w:hAnsi="宋体" w:hint="eastAsia"/>
          <w:color w:val="333333"/>
          <w:sz w:val="21"/>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第二十条</w:t>
      </w:r>
      <w:r>
        <w:rPr>
          <w:rFonts w:ascii="宋体" w:eastAsia="宋体" w:hAnsi="宋体" w:hint="eastAsia"/>
          <w:color w:val="333333"/>
          <w:sz w:val="21"/>
          <w:szCs w:val="21"/>
        </w:rPr>
        <w:t>　供应商按照本办法规定提供声明函内容不实的，属于提供虚假材料谋取中标、成交，依照《中华人民共和国政府采购法》等国家有关规定追究相应责任。</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color w:val="333333"/>
          <w:sz w:val="21"/>
          <w:szCs w:val="21"/>
        </w:rPr>
        <w:t>适用招标投标法的政府采购工程建设项目，投标人按照本办法规定提供声明函内容不实的，属于弄虚作假骗取中标，依照《中华人民共和国招标投标法》等国家有关规定追究相应责任。</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第二十一条</w:t>
      </w:r>
      <w:r>
        <w:rPr>
          <w:rFonts w:ascii="宋体" w:eastAsia="宋体" w:hAnsi="宋体" w:hint="eastAsia"/>
          <w:color w:val="333333"/>
          <w:sz w:val="21"/>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第二十二条</w:t>
      </w:r>
      <w:r>
        <w:rPr>
          <w:rFonts w:ascii="宋体" w:eastAsia="宋体" w:hAnsi="宋体" w:hint="eastAsia"/>
          <w:color w:val="333333"/>
          <w:sz w:val="21"/>
          <w:szCs w:val="21"/>
        </w:rPr>
        <w:t>　对外援助项目、国家相关资格或者资质管理制度另有规定的项目，不适用本办法。</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第二十三条</w:t>
      </w:r>
      <w:r>
        <w:rPr>
          <w:rFonts w:ascii="宋体" w:eastAsia="宋体" w:hAnsi="宋体" w:hint="eastAsia"/>
          <w:color w:val="333333"/>
          <w:sz w:val="21"/>
          <w:szCs w:val="21"/>
        </w:rPr>
        <w:t>　关于视同中小企业的其他主体的政府采购扶持政策，由财政部会同有关部门另行规定。</w:t>
      </w:r>
    </w:p>
    <w:p>
      <w:pPr>
        <w:pStyle w:val="NormalWeb"/>
        <w:shd w:val="clear" w:color="auto" w:fill="FFFFFF"/>
        <w:spacing w:before="0" w:beforeAutospacing="0" w:after="0" w:afterAutospacing="0" w:line="360" w:lineRule="auto"/>
        <w:ind w:firstLine="480"/>
        <w:jc w:val="both"/>
        <w:rPr>
          <w:rFonts w:ascii="宋体" w:eastAsia="宋体" w:hAnsi="宋体"/>
          <w:color w:val="333333"/>
          <w:sz w:val="21"/>
          <w:szCs w:val="21"/>
        </w:rPr>
      </w:pPr>
      <w:r>
        <w:rPr>
          <w:rFonts w:ascii="宋体" w:eastAsia="宋体" w:hAnsi="宋体" w:hint="eastAsia"/>
          <w:b/>
          <w:bCs/>
          <w:color w:val="333333"/>
          <w:sz w:val="21"/>
          <w:szCs w:val="21"/>
        </w:rPr>
        <w:t>第二十四条</w:t>
      </w:r>
      <w:r>
        <w:rPr>
          <w:rFonts w:ascii="宋体" w:eastAsia="宋体" w:hAnsi="宋体" w:hint="eastAsia"/>
          <w:color w:val="333333"/>
          <w:sz w:val="21"/>
          <w:szCs w:val="21"/>
        </w:rPr>
        <w:t>　省级财政部门可以会同中小企业主管部门根据本办法的规定制定具体实施办法。</w:t>
      </w:r>
    </w:p>
    <w:p>
      <w:pPr>
        <w:pStyle w:val="NormalWeb"/>
        <w:shd w:val="clear" w:color="auto" w:fill="FFFFFF"/>
        <w:spacing w:before="0" w:beforeAutospacing="0" w:after="0" w:afterAutospacing="0" w:line="360" w:lineRule="auto"/>
        <w:ind w:firstLine="480"/>
        <w:rPr>
          <w:rFonts w:ascii="宋体" w:eastAsia="宋体" w:hAnsi="宋体"/>
          <w:color w:val="333333"/>
          <w:sz w:val="21"/>
          <w:szCs w:val="21"/>
        </w:rPr>
      </w:pPr>
      <w:r>
        <w:rPr>
          <w:rFonts w:ascii="宋体" w:eastAsia="宋体" w:hAnsi="宋体" w:hint="eastAsia"/>
          <w:b/>
          <w:bCs/>
          <w:color w:val="333333"/>
          <w:sz w:val="21"/>
          <w:szCs w:val="21"/>
        </w:rPr>
        <w:t>第二十五条</w:t>
      </w:r>
      <w:r>
        <w:rPr>
          <w:rFonts w:ascii="宋体" w:eastAsia="宋体" w:hAnsi="宋体" w:hint="eastAsia"/>
          <w:color w:val="333333"/>
          <w:sz w:val="21"/>
          <w:szCs w:val="21"/>
        </w:rPr>
        <w:t>　本办法自2021年1月1日起施行。《财政部 工业和信息化部关于印发〈政府采购促进中小企业发展暂行办法〉的通知》（财库〔2011〕181号）同时废止。</w:t>
      </w:r>
    </w:p>
    <w:p>
      <w:pPr>
        <w:pStyle w:val="NormalWeb"/>
        <w:shd w:val="clear" w:color="auto" w:fill="FFFFFF"/>
        <w:spacing w:before="0" w:beforeAutospacing="0" w:after="0" w:afterAutospacing="0" w:line="360" w:lineRule="auto"/>
        <w:ind w:firstLine="480"/>
        <w:rPr>
          <w:rFonts w:ascii="宋体" w:eastAsia="宋体" w:hAnsi="宋体"/>
          <w:color w:val="333333"/>
          <w:sz w:val="21"/>
          <w:szCs w:val="21"/>
        </w:rPr>
      </w:pPr>
    </w:p>
    <w:p>
      <w:pPr>
        <w:spacing w:line="360" w:lineRule="auto"/>
        <w:rPr>
          <w:rFonts w:ascii="宋体" w:eastAsia="宋体" w:hAnsi="宋体"/>
          <w:szCs w:val="21"/>
        </w:rPr>
      </w:pPr>
    </w:p>
    <w:p>
      <w:pPr>
        <w:pStyle w:val="Heading3"/>
        <w:spacing w:before="0" w:after="0"/>
        <w:jc w:val="center"/>
      </w:pPr>
      <w:bookmarkStart w:id="21" w:name="_Toc73613645"/>
      <w:bookmarkStart w:id="22" w:name="_Toc73610163"/>
      <w:r>
        <w:rPr>
          <w:rFonts w:hint="eastAsia"/>
        </w:rPr>
        <w:t>二、关于印发中小企业划型标准规定的通知</w:t>
      </w:r>
      <w:bookmarkEnd w:id="21"/>
      <w:bookmarkEnd w:id="22"/>
    </w:p>
    <w:p>
      <w:pPr>
        <w:pStyle w:val="NormalWeb"/>
        <w:shd w:val="clear" w:color="auto" w:fill="FFFFFF"/>
        <w:spacing w:line="360" w:lineRule="auto"/>
        <w:jc w:val="center"/>
        <w:rPr>
          <w:rFonts w:ascii="宋体" w:eastAsia="宋体" w:hAnsi="宋体"/>
          <w:color w:val="000000"/>
          <w:sz w:val="21"/>
          <w:szCs w:val="21"/>
        </w:rPr>
      </w:pPr>
      <w:r>
        <w:rPr>
          <w:rFonts w:ascii="宋体" w:eastAsia="宋体" w:hAnsi="宋体" w:hint="eastAsia"/>
          <w:color w:val="000000"/>
          <w:sz w:val="21"/>
          <w:szCs w:val="21"/>
        </w:rPr>
        <w:t>工信部联企业〔2011〕300号</w:t>
      </w:r>
    </w:p>
    <w:p>
      <w:pPr>
        <w:pStyle w:val="NormalWeb"/>
        <w:shd w:val="clear" w:color="auto" w:fill="FFFFFF"/>
        <w:spacing w:line="360" w:lineRule="auto"/>
        <w:rPr>
          <w:rFonts w:ascii="宋体" w:eastAsia="宋体" w:hAnsi="宋体"/>
          <w:color w:val="000000"/>
          <w:sz w:val="21"/>
          <w:szCs w:val="21"/>
        </w:rPr>
      </w:pPr>
      <w:r>
        <w:rPr>
          <w:rFonts w:ascii="宋体" w:eastAsia="宋体" w:hAnsi="宋体" w:hint="eastAsia"/>
          <w:color w:val="000000"/>
          <w:sz w:val="21"/>
          <w:szCs w:val="21"/>
        </w:rPr>
        <w:t>各省、自治区、直辖市人民政府，国务院各部委、各直属机构及有关单位：</w:t>
      </w:r>
      <w:r>
        <w:rPr>
          <w:rFonts w:ascii="宋体" w:eastAsia="宋体" w:hAnsi="宋体" w:hint="eastAsia"/>
          <w:color w:val="000000"/>
          <w:sz w:val="21"/>
          <w:szCs w:val="21"/>
        </w:rPr>
        <w:br/>
      </w:r>
      <w:r>
        <w:rPr>
          <w:rFonts w:ascii="宋体" w:eastAsia="宋体" w:hAnsi="宋体" w:hint="eastAsia"/>
          <w:color w:val="000000"/>
          <w:sz w:val="21"/>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NormalWeb"/>
        <w:shd w:val="clear" w:color="auto" w:fill="FFFFFF"/>
        <w:spacing w:line="360" w:lineRule="auto"/>
        <w:jc w:val="right"/>
        <w:rPr>
          <w:rFonts w:ascii="宋体" w:eastAsia="宋体" w:hAnsi="宋体"/>
          <w:color w:val="000000"/>
          <w:sz w:val="21"/>
          <w:szCs w:val="21"/>
        </w:rPr>
      </w:pPr>
      <w:r>
        <w:rPr>
          <w:rFonts w:ascii="宋体" w:eastAsia="宋体" w:hAnsi="宋体" w:hint="eastAsia"/>
          <w:color w:val="000000"/>
          <w:sz w:val="21"/>
          <w:szCs w:val="21"/>
        </w:rPr>
        <w:br/>
      </w:r>
      <w:r>
        <w:rPr>
          <w:rFonts w:ascii="宋体" w:eastAsia="宋体" w:hAnsi="宋体" w:hint="eastAsia"/>
          <w:color w:val="000000"/>
          <w:sz w:val="21"/>
          <w:szCs w:val="21"/>
        </w:rPr>
        <w:t>　　　　　　　　　　　　　　　　　　　　　工业和信息化部　国家统计局</w:t>
      </w:r>
      <w:r>
        <w:rPr>
          <w:rFonts w:ascii="宋体" w:eastAsia="宋体" w:hAnsi="宋体" w:hint="eastAsia"/>
          <w:color w:val="000000"/>
          <w:sz w:val="21"/>
          <w:szCs w:val="21"/>
        </w:rPr>
        <w:br/>
      </w:r>
      <w:r>
        <w:rPr>
          <w:rFonts w:ascii="宋体" w:eastAsia="宋体" w:hAnsi="宋体" w:hint="eastAsia"/>
          <w:color w:val="000000"/>
          <w:sz w:val="21"/>
          <w:szCs w:val="21"/>
        </w:rPr>
        <w:t>　　　　　　　　　　　　　　　　　　　　国家发展和改革委员会　财政部</w:t>
      </w:r>
      <w:r>
        <w:rPr>
          <w:rFonts w:ascii="宋体" w:eastAsia="宋体" w:hAnsi="宋体" w:hint="eastAsia"/>
          <w:color w:val="000000"/>
          <w:sz w:val="21"/>
          <w:szCs w:val="21"/>
        </w:rPr>
        <w:br/>
      </w:r>
      <w:r>
        <w:rPr>
          <w:rFonts w:ascii="宋体" w:eastAsia="宋体" w:hAnsi="宋体" w:hint="eastAsia"/>
          <w:color w:val="000000"/>
          <w:sz w:val="21"/>
          <w:szCs w:val="21"/>
        </w:rPr>
        <w:t>　　　　　　　　　　　　　　　　　　　　　　　　二○一一年六月十八日</w:t>
      </w:r>
    </w:p>
    <w:p>
      <w:pPr>
        <w:pStyle w:val="NormalWeb"/>
        <w:shd w:val="clear" w:color="auto" w:fill="FFFFFF"/>
        <w:spacing w:line="360" w:lineRule="auto"/>
        <w:jc w:val="center"/>
        <w:rPr>
          <w:rFonts w:ascii="宋体" w:eastAsia="宋体" w:hAnsi="宋体"/>
          <w:color w:val="000000"/>
          <w:sz w:val="21"/>
          <w:szCs w:val="21"/>
        </w:rPr>
      </w:pPr>
      <w:r>
        <w:rPr>
          <w:rStyle w:val="Strong"/>
          <w:rFonts w:ascii="宋体" w:eastAsia="宋体" w:hAnsi="宋体" w:hint="eastAsia"/>
          <w:color w:val="000000"/>
          <w:sz w:val="21"/>
          <w:szCs w:val="21"/>
        </w:rPr>
        <w:t>中小企业划型标准规定</w:t>
      </w:r>
    </w:p>
    <w:p>
      <w:pPr>
        <w:pStyle w:val="NormalWeb"/>
        <w:shd w:val="clear" w:color="auto" w:fill="FFFFFF"/>
        <w:spacing w:line="360" w:lineRule="auto"/>
        <w:rPr>
          <w:rFonts w:ascii="宋体" w:eastAsia="宋体" w:hAnsi="宋体"/>
          <w:color w:val="000000"/>
          <w:sz w:val="21"/>
          <w:szCs w:val="21"/>
        </w:rPr>
      </w:pPr>
      <w:r>
        <w:rPr>
          <w:rFonts w:ascii="宋体" w:eastAsia="宋体" w:hAnsi="宋体" w:hint="eastAsia"/>
          <w:color w:val="000000"/>
          <w:sz w:val="21"/>
          <w:szCs w:val="21"/>
        </w:rPr>
        <w:t>　　一、根据《中华人民共和国中小企业促进法》和《国务院关于进一步促进中小企业发展的若干意见》(国发〔2009〕36号)，制定本规定。</w:t>
      </w:r>
      <w:r>
        <w:rPr>
          <w:rFonts w:ascii="宋体" w:eastAsia="宋体" w:hAnsi="宋体" w:hint="eastAsia"/>
          <w:color w:val="000000"/>
          <w:sz w:val="21"/>
          <w:szCs w:val="21"/>
        </w:rPr>
        <w:br/>
      </w:r>
      <w:r>
        <w:rPr>
          <w:rFonts w:ascii="宋体" w:eastAsia="宋体" w:hAnsi="宋体" w:hint="eastAsia"/>
          <w:color w:val="000000"/>
          <w:sz w:val="21"/>
          <w:szCs w:val="21"/>
        </w:rPr>
        <w:t>　　二、中小企业划分为中型、小型、微型三种类型，具体标准根据企业从业人员、营业收入、资产总额等指标，结合行业特点制定。</w:t>
      </w:r>
      <w:r>
        <w:rPr>
          <w:rFonts w:ascii="宋体" w:eastAsia="宋体" w:hAnsi="宋体" w:hint="eastAsia"/>
          <w:color w:val="000000"/>
          <w:sz w:val="21"/>
          <w:szCs w:val="21"/>
        </w:rPr>
        <w:br/>
      </w:r>
      <w:r>
        <w:rPr>
          <w:rFonts w:ascii="宋体" w:eastAsia="宋体" w:hAnsi="宋体" w:hint="eastAsia"/>
          <w:color w:val="000000"/>
          <w:sz w:val="21"/>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宋体" w:eastAsia="宋体" w:hAnsi="宋体" w:hint="eastAsia"/>
          <w:color w:val="000000"/>
          <w:sz w:val="21"/>
          <w:szCs w:val="21"/>
        </w:rPr>
        <w:br/>
      </w:r>
      <w:r>
        <w:rPr>
          <w:rFonts w:ascii="宋体" w:eastAsia="宋体" w:hAnsi="宋体" w:hint="eastAsia"/>
          <w:color w:val="000000"/>
          <w:sz w:val="21"/>
          <w:szCs w:val="21"/>
        </w:rPr>
        <w:t>　　四、各行业划型标准为：</w:t>
      </w:r>
      <w:r>
        <w:rPr>
          <w:rFonts w:ascii="宋体" w:eastAsia="宋体" w:hAnsi="宋体" w:hint="eastAsia"/>
          <w:color w:val="000000"/>
          <w:sz w:val="21"/>
          <w:szCs w:val="21"/>
        </w:rPr>
        <w:br/>
      </w:r>
      <w:r>
        <w:rPr>
          <w:rFonts w:ascii="宋体" w:eastAsia="宋体" w:hAnsi="宋体" w:hint="eastAsia"/>
          <w:color w:val="000000"/>
          <w:sz w:val="21"/>
          <w:szCs w:val="21"/>
        </w:rPr>
        <w:t>　　（一）农、林、牧、渔业。营业收入20000万元以下的为中小微型企业。其中，营业收入500万元及以上的为中型企业，营业收入50万元及以上的为小型企业，营业收入50万元以下的为微型企业。</w:t>
      </w:r>
      <w:r>
        <w:rPr>
          <w:rFonts w:ascii="宋体" w:eastAsia="宋体" w:hAnsi="宋体" w:hint="eastAsia"/>
          <w:color w:val="000000"/>
          <w:sz w:val="21"/>
          <w:szCs w:val="21"/>
        </w:rPr>
        <w:br/>
      </w:r>
      <w:r>
        <w:rPr>
          <w:rFonts w:ascii="宋体" w:eastAsia="宋体" w:hAnsi="宋体" w:hint="eastAsia"/>
          <w:color w:val="000000"/>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宋体" w:eastAsia="宋体" w:hAnsi="宋体" w:hint="eastAsia"/>
          <w:color w:val="000000"/>
          <w:sz w:val="21"/>
          <w:szCs w:val="21"/>
        </w:rPr>
        <w:br/>
      </w:r>
      <w:r>
        <w:rPr>
          <w:rFonts w:ascii="宋体" w:eastAsia="宋体" w:hAnsi="宋体" w:hint="eastAsia"/>
          <w:color w:val="000000"/>
          <w:sz w:val="21"/>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宋体" w:eastAsia="宋体" w:hAnsi="宋体" w:hint="eastAsia"/>
          <w:color w:val="000000"/>
          <w:sz w:val="21"/>
          <w:szCs w:val="21"/>
        </w:rPr>
        <w:br/>
      </w:r>
      <w:r>
        <w:rPr>
          <w:rFonts w:ascii="宋体" w:eastAsia="宋体" w:hAnsi="宋体" w:hint="eastAsia"/>
          <w:color w:val="000000"/>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宋体" w:eastAsia="宋体" w:hAnsi="宋体" w:hint="eastAsia"/>
          <w:color w:val="000000"/>
          <w:sz w:val="21"/>
          <w:szCs w:val="21"/>
        </w:rPr>
        <w:br/>
      </w:r>
      <w:r>
        <w:rPr>
          <w:rFonts w:ascii="宋体" w:eastAsia="宋体" w:hAnsi="宋体" w:hint="eastAsia"/>
          <w:color w:val="000000"/>
          <w:sz w:val="21"/>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宋体" w:eastAsia="宋体" w:hAnsi="宋体" w:hint="eastAsia"/>
          <w:color w:val="000000"/>
          <w:sz w:val="21"/>
          <w:szCs w:val="21"/>
        </w:rPr>
        <w:br/>
      </w:r>
      <w:r>
        <w:rPr>
          <w:rFonts w:ascii="宋体" w:eastAsia="宋体" w:hAnsi="宋体" w:hint="eastAsia"/>
          <w:color w:val="000000"/>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宋体" w:eastAsia="宋体" w:hAnsi="宋体" w:hint="eastAsia"/>
          <w:color w:val="000000"/>
          <w:sz w:val="21"/>
          <w:szCs w:val="21"/>
        </w:rPr>
        <w:br/>
      </w:r>
      <w:r>
        <w:rPr>
          <w:rFonts w:ascii="宋体" w:eastAsia="宋体" w:hAnsi="宋体" w:hint="eastAsia"/>
          <w:color w:val="000000"/>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ascii="宋体" w:eastAsia="宋体" w:hAnsi="宋体" w:hint="eastAsia"/>
          <w:color w:val="000000"/>
          <w:sz w:val="21"/>
          <w:szCs w:val="21"/>
        </w:rPr>
        <w:br/>
      </w:r>
      <w:r>
        <w:rPr>
          <w:rFonts w:ascii="宋体" w:eastAsia="宋体" w:hAnsi="宋体" w:hint="eastAsia"/>
          <w:color w:val="000000"/>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宋体" w:eastAsia="宋体" w:hAnsi="宋体" w:hint="eastAsia"/>
          <w:color w:val="000000"/>
          <w:sz w:val="21"/>
          <w:szCs w:val="21"/>
        </w:rPr>
        <w:br/>
      </w:r>
      <w:r>
        <w:rPr>
          <w:rFonts w:ascii="宋体" w:eastAsia="宋体" w:hAnsi="宋体" w:hint="eastAsia"/>
          <w:color w:val="000000"/>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eastAsia="宋体" w:hAnsi="宋体" w:hint="eastAsia"/>
          <w:color w:val="000000"/>
          <w:sz w:val="21"/>
          <w:szCs w:val="21"/>
        </w:rPr>
        <w:br/>
      </w:r>
      <w:r>
        <w:rPr>
          <w:rFonts w:ascii="宋体" w:eastAsia="宋体" w:hAnsi="宋体" w:hint="eastAsia"/>
          <w:color w:val="000000"/>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eastAsia="宋体" w:hAnsi="宋体" w:hint="eastAsia"/>
          <w:color w:val="000000"/>
          <w:sz w:val="21"/>
          <w:szCs w:val="21"/>
        </w:rPr>
        <w:br/>
      </w:r>
      <w:r>
        <w:rPr>
          <w:rFonts w:ascii="宋体" w:eastAsia="宋体" w:hAnsi="宋体" w:hint="eastAsia"/>
          <w:color w:val="000000"/>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宋体" w:eastAsia="宋体" w:hAnsi="宋体" w:hint="eastAsia"/>
          <w:color w:val="000000"/>
          <w:sz w:val="21"/>
          <w:szCs w:val="21"/>
        </w:rPr>
        <w:br/>
      </w:r>
      <w:r>
        <w:rPr>
          <w:rFonts w:ascii="宋体" w:eastAsia="宋体" w:hAnsi="宋体" w:hint="eastAsia"/>
          <w:color w:val="000000"/>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宋体" w:eastAsia="宋体" w:hAnsi="宋体" w:hint="eastAsia"/>
          <w:color w:val="000000"/>
          <w:sz w:val="21"/>
          <w:szCs w:val="21"/>
        </w:rPr>
        <w:br/>
      </w:r>
      <w:r>
        <w:rPr>
          <w:rFonts w:ascii="宋体" w:eastAsia="宋体" w:hAnsi="宋体" w:hint="eastAsia"/>
          <w:color w:val="000000"/>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宋体" w:eastAsia="宋体" w:hAnsi="宋体" w:hint="eastAsia"/>
          <w:color w:val="000000"/>
          <w:sz w:val="21"/>
          <w:szCs w:val="21"/>
        </w:rPr>
        <w:br/>
      </w:r>
      <w:r>
        <w:rPr>
          <w:rFonts w:ascii="宋体" w:eastAsia="宋体" w:hAnsi="宋体" w:hint="eastAsia"/>
          <w:color w:val="000000"/>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宋体" w:eastAsia="宋体" w:hAnsi="宋体" w:hint="eastAsia"/>
          <w:color w:val="000000"/>
          <w:sz w:val="21"/>
          <w:szCs w:val="21"/>
        </w:rPr>
        <w:br/>
      </w:r>
      <w:r>
        <w:rPr>
          <w:rFonts w:ascii="宋体" w:eastAsia="宋体" w:hAnsi="宋体" w:hint="eastAsia"/>
          <w:color w:val="000000"/>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宋体" w:eastAsia="宋体" w:hAnsi="宋体" w:hint="eastAsia"/>
          <w:color w:val="000000"/>
          <w:sz w:val="21"/>
          <w:szCs w:val="21"/>
        </w:rPr>
        <w:br/>
      </w:r>
      <w:r>
        <w:rPr>
          <w:rFonts w:ascii="宋体" w:eastAsia="宋体" w:hAnsi="宋体" w:hint="eastAsia"/>
          <w:color w:val="000000"/>
          <w:sz w:val="21"/>
          <w:szCs w:val="21"/>
        </w:rPr>
        <w:t>　　（十六）其他未列明行业。从业人员300人以下的为中小微型企业。其中，从业人员100人及以上的为中型企业；从业人员10人及以上的为小型企业；从业人员10人以下的为微型企业。</w:t>
      </w:r>
      <w:r>
        <w:rPr>
          <w:rFonts w:ascii="宋体" w:eastAsia="宋体" w:hAnsi="宋体" w:hint="eastAsia"/>
          <w:color w:val="000000"/>
          <w:sz w:val="21"/>
          <w:szCs w:val="21"/>
        </w:rPr>
        <w:br/>
      </w:r>
      <w:r>
        <w:rPr>
          <w:rFonts w:ascii="宋体" w:eastAsia="宋体" w:hAnsi="宋体" w:hint="eastAsia"/>
          <w:color w:val="000000"/>
          <w:sz w:val="21"/>
          <w:szCs w:val="21"/>
        </w:rPr>
        <w:t>　　五、企业类型的划分以统计部门的统计数据为依据。</w:t>
      </w:r>
      <w:r>
        <w:rPr>
          <w:rFonts w:ascii="宋体" w:eastAsia="宋体" w:hAnsi="宋体" w:hint="eastAsia"/>
          <w:color w:val="000000"/>
          <w:sz w:val="21"/>
          <w:szCs w:val="21"/>
        </w:rPr>
        <w:br/>
      </w:r>
      <w:r>
        <w:rPr>
          <w:rFonts w:ascii="宋体" w:eastAsia="宋体" w:hAnsi="宋体" w:hint="eastAsia"/>
          <w:color w:val="000000"/>
          <w:sz w:val="21"/>
          <w:szCs w:val="21"/>
        </w:rPr>
        <w:t>　　六、本规定适用于在中华人民共和国境内依法设立的各类所有制和各种组织形式的企业。个体工商户和本规定以外的行业，参照本规定进行划型。</w:t>
      </w:r>
      <w:r>
        <w:rPr>
          <w:rFonts w:ascii="宋体" w:eastAsia="宋体" w:hAnsi="宋体" w:hint="eastAsia"/>
          <w:color w:val="000000"/>
          <w:sz w:val="21"/>
          <w:szCs w:val="21"/>
        </w:rPr>
        <w:br/>
      </w:r>
      <w:r>
        <w:rPr>
          <w:rFonts w:ascii="宋体" w:eastAsia="宋体" w:hAnsi="宋体" w:hint="eastAsia"/>
          <w:color w:val="000000"/>
          <w:sz w:val="21"/>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ascii="宋体" w:eastAsia="宋体" w:hAnsi="宋体" w:hint="eastAsia"/>
          <w:color w:val="000000"/>
          <w:sz w:val="21"/>
          <w:szCs w:val="21"/>
        </w:rPr>
        <w:br/>
      </w:r>
      <w:r>
        <w:rPr>
          <w:rFonts w:ascii="宋体" w:eastAsia="宋体" w:hAnsi="宋体" w:hint="eastAsia"/>
          <w:color w:val="000000"/>
          <w:sz w:val="21"/>
          <w:szCs w:val="21"/>
        </w:rPr>
        <w:t>　　八、本规定由工业和信息化部、国家统计局会同有关部门根据《国民经济行业分类》修订情况和企业发展变化情况适时修订。</w:t>
      </w:r>
      <w:r>
        <w:rPr>
          <w:rFonts w:ascii="宋体" w:eastAsia="宋体" w:hAnsi="宋体" w:hint="eastAsia"/>
          <w:color w:val="000000"/>
          <w:sz w:val="21"/>
          <w:szCs w:val="21"/>
        </w:rPr>
        <w:br/>
      </w:r>
      <w:r>
        <w:rPr>
          <w:rFonts w:ascii="宋体" w:eastAsia="宋体" w:hAnsi="宋体" w:hint="eastAsia"/>
          <w:color w:val="000000"/>
          <w:sz w:val="21"/>
          <w:szCs w:val="21"/>
        </w:rPr>
        <w:t>　　九、本规定由工业和信息化部、国家统计局会同有关部门负责解释。</w:t>
      </w:r>
      <w:r>
        <w:rPr>
          <w:rFonts w:ascii="宋体" w:eastAsia="宋体" w:hAnsi="宋体" w:hint="eastAsia"/>
          <w:color w:val="000000"/>
          <w:sz w:val="21"/>
          <w:szCs w:val="21"/>
        </w:rPr>
        <w:br/>
      </w:r>
      <w:r>
        <w:rPr>
          <w:rFonts w:ascii="宋体" w:eastAsia="宋体" w:hAnsi="宋体" w:hint="eastAsia"/>
          <w:color w:val="000000"/>
          <w:sz w:val="21"/>
          <w:szCs w:val="21"/>
        </w:rPr>
        <w:t>　　十、本规定自发布之日起执行，原国家经贸委、原国家计委、财政部和国家统计局2003年颁布的《中小企业标准暂行规定》同时废止。</w:t>
      </w:r>
    </w:p>
    <w:p>
      <w:pPr>
        <w:pStyle w:val="NormalWeb"/>
        <w:shd w:val="clear" w:color="auto" w:fill="FFFFFF"/>
        <w:spacing w:line="360" w:lineRule="auto"/>
        <w:rPr>
          <w:rFonts w:ascii="宋体" w:eastAsia="宋体" w:hAnsi="宋体"/>
          <w:color w:val="000000"/>
          <w:sz w:val="21"/>
          <w:szCs w:val="21"/>
        </w:rPr>
      </w:pPr>
    </w:p>
    <w:p>
      <w:pPr>
        <w:pStyle w:val="Heading3"/>
        <w:spacing w:before="0" w:after="0"/>
        <w:jc w:val="center"/>
        <w:rPr>
          <w:rFonts w:ascii="宋体" w:eastAsia="宋体" w:hAnsi="宋体"/>
        </w:rPr>
      </w:pPr>
      <w:bookmarkStart w:id="23" w:name="_Toc73613646"/>
      <w:bookmarkStart w:id="24" w:name="_Toc73610164"/>
      <w:r>
        <w:rPr>
          <w:rFonts w:ascii="宋体" w:eastAsia="宋体" w:hAnsi="宋体" w:hint="eastAsia"/>
          <w:bCs w:val="0"/>
        </w:rPr>
        <w:t>三、</w:t>
      </w:r>
      <w:r>
        <w:rPr>
          <w:rFonts w:ascii="宋体" w:eastAsia="宋体" w:hAnsi="宋体"/>
          <w:bCs w:val="0"/>
        </w:rPr>
        <w:t>国家统计局关于印发《统计上大中小微型企业划分办法 （2017）》的通知</w:t>
      </w:r>
      <w:bookmarkEnd w:id="23"/>
      <w:bookmarkEnd w:id="24"/>
      <w:r>
        <w:rPr>
          <w:rFonts w:ascii="宋体" w:eastAsia="宋体" w:hAnsi="宋体"/>
          <w:bCs w:val="0"/>
        </w:rPr>
        <w:t> </w:t>
      </w:r>
    </w:p>
    <w:p>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国统字〔2017〕213号</w:t>
      </w:r>
    </w:p>
    <w:p>
      <w:pPr>
        <w:widowControl/>
        <w:spacing w:line="360" w:lineRule="auto"/>
        <w:jc w:val="left"/>
        <w:rPr>
          <w:rFonts w:ascii="宋体" w:eastAsia="宋体" w:hAnsi="宋体" w:cs="宋体"/>
          <w:kern w:val="0"/>
          <w:szCs w:val="21"/>
        </w:rPr>
      </w:pPr>
      <w:r>
        <w:rPr>
          <w:rFonts w:ascii="宋体" w:eastAsia="宋体" w:hAnsi="宋体" w:cs="宋体"/>
          <w:kern w:val="0"/>
          <w:szCs w:val="21"/>
        </w:rPr>
        <w:t>各省、自治区、直辖市统计局，新疆生产建设兵团统计局，国务院各有关部门，国家统计局各调查总队：</w:t>
      </w:r>
    </w:p>
    <w:p>
      <w:pPr>
        <w:widowControl/>
        <w:spacing w:line="360" w:lineRule="auto"/>
        <w:ind w:firstLine="372" w:firstLineChars="177"/>
        <w:jc w:val="left"/>
        <w:rPr>
          <w:rFonts w:ascii="宋体" w:eastAsia="宋体" w:hAnsi="宋体" w:cs="宋体"/>
          <w:kern w:val="0"/>
          <w:szCs w:val="21"/>
        </w:rPr>
      </w:pPr>
      <w:r>
        <w:rPr>
          <w:rFonts w:ascii="宋体" w:eastAsia="宋体" w:hAnsi="宋体" w:cs="宋体"/>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pacing w:line="360" w:lineRule="auto"/>
        <w:jc w:val="left"/>
        <w:rPr>
          <w:rFonts w:ascii="宋体" w:eastAsia="宋体" w:hAnsi="宋体" w:cs="宋体"/>
          <w:kern w:val="0"/>
          <w:szCs w:val="21"/>
        </w:rPr>
      </w:pPr>
      <w:r>
        <w:rPr>
          <w:rFonts w:ascii="宋体" w:eastAsia="宋体" w:hAnsi="宋体" w:cs="宋体"/>
          <w:kern w:val="0"/>
          <w:szCs w:val="21"/>
        </w:rPr>
        <w:t>附件：《统计上大中小微型企业划分办法（2017）》修订说明</w:t>
      </w:r>
    </w:p>
    <w:p>
      <w:pPr>
        <w:widowControl/>
        <w:spacing w:line="360" w:lineRule="auto"/>
        <w:jc w:val="right"/>
        <w:rPr>
          <w:rFonts w:ascii="宋体" w:eastAsia="宋体" w:hAnsi="宋体" w:cs="宋体"/>
          <w:kern w:val="0"/>
          <w:szCs w:val="21"/>
        </w:rPr>
      </w:pPr>
      <w:r>
        <w:rPr>
          <w:rFonts w:ascii="宋体" w:eastAsia="宋体" w:hAnsi="宋体" w:cs="宋体"/>
          <w:kern w:val="0"/>
          <w:szCs w:val="21"/>
        </w:rPr>
        <w:t>国家统计局</w:t>
      </w:r>
    </w:p>
    <w:p>
      <w:pPr>
        <w:widowControl/>
        <w:spacing w:line="360" w:lineRule="auto"/>
        <w:jc w:val="right"/>
        <w:rPr>
          <w:rFonts w:ascii="宋体" w:eastAsia="宋体" w:hAnsi="宋体" w:cs="宋体"/>
          <w:kern w:val="0"/>
          <w:szCs w:val="21"/>
        </w:rPr>
      </w:pPr>
      <w:r>
        <w:rPr>
          <w:rFonts w:ascii="宋体" w:eastAsia="宋体" w:hAnsi="宋体" w:cs="宋体"/>
          <w:kern w:val="0"/>
          <w:szCs w:val="21"/>
        </w:rPr>
        <w:t>2017年12月28日</w:t>
      </w:r>
    </w:p>
    <w:p>
      <w:pPr>
        <w:widowControl/>
        <w:spacing w:line="360" w:lineRule="auto"/>
        <w:jc w:val="center"/>
        <w:rPr>
          <w:rFonts w:ascii="宋体" w:eastAsia="宋体" w:hAnsi="宋体" w:cs="宋体"/>
          <w:b/>
          <w:bCs/>
          <w:kern w:val="0"/>
          <w:szCs w:val="21"/>
        </w:rPr>
      </w:pPr>
    </w:p>
    <w:p>
      <w:pPr>
        <w:widowControl/>
        <w:spacing w:line="360" w:lineRule="auto"/>
        <w:jc w:val="center"/>
        <w:rPr>
          <w:rFonts w:ascii="宋体" w:eastAsia="宋体" w:hAnsi="宋体" w:cs="宋体"/>
          <w:kern w:val="0"/>
          <w:szCs w:val="21"/>
        </w:rPr>
      </w:pPr>
      <w:r>
        <w:rPr>
          <w:rFonts w:ascii="宋体" w:eastAsia="宋体" w:hAnsi="宋体" w:cs="宋体"/>
          <w:b/>
          <w:bCs/>
          <w:kern w:val="0"/>
          <w:szCs w:val="21"/>
        </w:rPr>
        <w:t>统计上大中小微型企业划分办法（2017）</w:t>
      </w:r>
    </w:p>
    <w:p>
      <w:pPr>
        <w:widowControl/>
        <w:spacing w:line="360" w:lineRule="auto"/>
        <w:jc w:val="left"/>
        <w:rPr>
          <w:rFonts w:ascii="宋体" w:eastAsia="宋体" w:hAnsi="宋体" w:cs="宋体"/>
          <w:kern w:val="0"/>
          <w:szCs w:val="21"/>
        </w:rPr>
      </w:pPr>
    </w:p>
    <w:p>
      <w:pPr>
        <w:widowControl/>
        <w:spacing w:line="360" w:lineRule="auto"/>
        <w:ind w:left="1" w:firstLine="372" w:firstLineChars="177"/>
        <w:jc w:val="left"/>
        <w:rPr>
          <w:rFonts w:ascii="宋体" w:eastAsia="宋体" w:hAnsi="宋体" w:cs="宋体"/>
          <w:kern w:val="0"/>
          <w:szCs w:val="21"/>
        </w:rPr>
      </w:pPr>
      <w:r>
        <w:rPr>
          <w:rFonts w:ascii="宋体" w:eastAsia="宋体" w:hAnsi="宋体" w:cs="宋体"/>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pacing w:line="360" w:lineRule="auto"/>
        <w:ind w:firstLine="372" w:firstLineChars="177"/>
        <w:jc w:val="left"/>
        <w:rPr>
          <w:rFonts w:ascii="宋体" w:eastAsia="宋体" w:hAnsi="宋体" w:cs="宋体"/>
          <w:kern w:val="0"/>
          <w:szCs w:val="21"/>
        </w:rPr>
      </w:pPr>
      <w:r>
        <w:rPr>
          <w:rFonts w:ascii="宋体" w:eastAsia="宋体" w:hAnsi="宋体" w:cs="宋体"/>
          <w:kern w:val="0"/>
          <w:szCs w:val="21"/>
        </w:rPr>
        <w:t>二、本办法适用对象为在中华人民共和国境内依法设立的各种组织形式的法人企业或单位。个体工商户参照本办法进行划分。</w:t>
      </w:r>
    </w:p>
    <w:p>
      <w:pPr>
        <w:widowControl/>
        <w:spacing w:line="360" w:lineRule="auto"/>
        <w:ind w:firstLine="372" w:firstLineChars="177"/>
        <w:jc w:val="left"/>
        <w:rPr>
          <w:rFonts w:ascii="宋体" w:eastAsia="宋体" w:hAnsi="宋体" w:cs="宋体"/>
          <w:kern w:val="0"/>
          <w:szCs w:val="21"/>
        </w:rPr>
      </w:pPr>
      <w:r>
        <w:rPr>
          <w:rFonts w:ascii="宋体" w:eastAsia="宋体" w:hAnsi="宋体" w:cs="宋体"/>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pacing w:line="360" w:lineRule="auto"/>
        <w:ind w:firstLine="372" w:firstLineChars="177"/>
        <w:jc w:val="left"/>
        <w:rPr>
          <w:rFonts w:ascii="宋体" w:eastAsia="宋体" w:hAnsi="宋体" w:cs="宋体"/>
          <w:kern w:val="0"/>
          <w:szCs w:val="21"/>
        </w:rPr>
      </w:pPr>
      <w:r>
        <w:rPr>
          <w:rFonts w:ascii="宋体" w:eastAsia="宋体" w:hAnsi="宋体" w:cs="宋体"/>
          <w:kern w:val="0"/>
          <w:szCs w:val="21"/>
        </w:rPr>
        <w:t>四、本办法按照行业门类、大类、中类和组合类别，依据从业人员、营业收入、资产总额等指标或替代指标，将我国的企业划分为大型、中型、小型、微型等四种类型。具体划分标准见附表。</w:t>
      </w:r>
    </w:p>
    <w:p>
      <w:pPr>
        <w:widowControl/>
        <w:spacing w:line="360" w:lineRule="auto"/>
        <w:ind w:firstLine="372" w:firstLineChars="177"/>
        <w:jc w:val="left"/>
        <w:rPr>
          <w:rFonts w:ascii="宋体" w:eastAsia="宋体" w:hAnsi="宋体" w:cs="宋体"/>
          <w:kern w:val="0"/>
          <w:szCs w:val="21"/>
        </w:rPr>
      </w:pPr>
      <w:r>
        <w:rPr>
          <w:rFonts w:ascii="宋体" w:eastAsia="宋体" w:hAnsi="宋体" w:cs="宋体"/>
          <w:kern w:val="0"/>
          <w:szCs w:val="21"/>
        </w:rPr>
        <w:t>五、企业划分由政府综合统计部门根据统计年报每年确定一次，定报统计原则上不进行调整。</w:t>
      </w:r>
    </w:p>
    <w:p>
      <w:pPr>
        <w:widowControl/>
        <w:spacing w:line="360" w:lineRule="auto"/>
        <w:ind w:left="1" w:firstLine="372" w:firstLineChars="177"/>
        <w:jc w:val="left"/>
        <w:rPr>
          <w:rFonts w:ascii="宋体" w:eastAsia="宋体" w:hAnsi="宋体" w:cs="宋体"/>
          <w:kern w:val="0"/>
          <w:szCs w:val="21"/>
        </w:rPr>
      </w:pPr>
      <w:r>
        <w:rPr>
          <w:rFonts w:ascii="宋体" w:eastAsia="宋体" w:hAnsi="宋体" w:cs="宋体"/>
          <w:kern w:val="0"/>
          <w:szCs w:val="21"/>
        </w:rPr>
        <w:t>六、本办法自印发之日起执行，国家统计局2011年印发的《统计上大中小微型企业划分办法》（国统字〔2011〕75号）同时废止。</w:t>
      </w:r>
    </w:p>
    <w:p>
      <w:pPr>
        <w:widowControl/>
        <w:spacing w:line="360" w:lineRule="auto"/>
        <w:jc w:val="left"/>
        <w:rPr>
          <w:rFonts w:ascii="宋体" w:eastAsia="宋体" w:hAnsi="宋体" w:cs="宋体"/>
          <w:kern w:val="0"/>
          <w:szCs w:val="21"/>
        </w:rPr>
      </w:pPr>
    </w:p>
    <w:p>
      <w:pPr>
        <w:widowControl/>
        <w:spacing w:line="360" w:lineRule="auto"/>
        <w:jc w:val="left"/>
        <w:rPr>
          <w:rFonts w:ascii="宋体" w:eastAsia="宋体" w:hAnsi="宋体" w:cs="宋体"/>
          <w:kern w:val="0"/>
          <w:szCs w:val="21"/>
        </w:rPr>
      </w:pPr>
      <w:r>
        <w:rPr>
          <w:rFonts w:ascii="宋体" w:eastAsia="宋体" w:hAnsi="宋体" w:cs="宋体"/>
          <w:kern w:val="0"/>
          <w:szCs w:val="21"/>
        </w:rPr>
        <w:t>附件</w:t>
      </w:r>
    </w:p>
    <w:p>
      <w:pPr>
        <w:widowControl/>
        <w:spacing w:line="360" w:lineRule="auto"/>
        <w:jc w:val="center"/>
        <w:rPr>
          <w:rFonts w:ascii="宋体" w:eastAsia="宋体" w:hAnsi="宋体" w:cs="宋体"/>
          <w:kern w:val="0"/>
          <w:szCs w:val="21"/>
        </w:rPr>
      </w:pPr>
      <w:r>
        <w:rPr>
          <w:rFonts w:ascii="宋体" w:eastAsia="宋体" w:hAnsi="宋体" w:cs="宋体"/>
          <w:b/>
          <w:bCs/>
          <w:kern w:val="0"/>
          <w:szCs w:val="21"/>
        </w:rPr>
        <w:t>《统计上大中小微型企业划分办法（2017）》修订说明</w:t>
      </w:r>
    </w:p>
    <w:p>
      <w:pPr>
        <w:widowControl/>
        <w:spacing w:line="360" w:lineRule="auto"/>
        <w:jc w:val="left"/>
        <w:rPr>
          <w:rFonts w:ascii="宋体" w:eastAsia="宋体" w:hAnsi="宋体" w:cs="宋体"/>
          <w:kern w:val="0"/>
          <w:szCs w:val="21"/>
        </w:rPr>
      </w:pPr>
    </w:p>
    <w:p>
      <w:pPr>
        <w:widowControl/>
        <w:spacing w:line="360" w:lineRule="auto"/>
        <w:ind w:firstLine="372" w:firstLineChars="177"/>
        <w:jc w:val="left"/>
        <w:rPr>
          <w:rFonts w:ascii="宋体" w:eastAsia="宋体" w:hAnsi="宋体" w:cs="宋体"/>
          <w:kern w:val="0"/>
          <w:szCs w:val="21"/>
        </w:rPr>
      </w:pPr>
      <w:r>
        <w:rPr>
          <w:rFonts w:ascii="宋体" w:eastAsia="宋体" w:hAnsi="宋体" w:cs="宋体"/>
          <w:kern w:val="0"/>
          <w:szCs w:val="21"/>
        </w:rPr>
        <w:t>一、修订背景</w:t>
      </w:r>
    </w:p>
    <w:p>
      <w:pPr>
        <w:widowControl/>
        <w:spacing w:line="360" w:lineRule="auto"/>
        <w:ind w:firstLine="372" w:firstLineChars="177"/>
        <w:jc w:val="left"/>
        <w:rPr>
          <w:rFonts w:ascii="宋体" w:eastAsia="宋体" w:hAnsi="宋体" w:cs="宋体"/>
          <w:kern w:val="0"/>
          <w:szCs w:val="21"/>
        </w:rPr>
      </w:pPr>
      <w:r>
        <w:rPr>
          <w:rFonts w:ascii="宋体" w:eastAsia="宋体" w:hAnsi="宋体" w:cs="宋体"/>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pPr>
        <w:widowControl/>
        <w:spacing w:line="360" w:lineRule="auto"/>
        <w:ind w:firstLine="372" w:firstLineChars="177"/>
        <w:jc w:val="left"/>
        <w:rPr>
          <w:rFonts w:ascii="宋体" w:eastAsia="宋体" w:hAnsi="宋体" w:cs="宋体"/>
          <w:kern w:val="0"/>
          <w:szCs w:val="21"/>
        </w:rPr>
      </w:pPr>
      <w:r>
        <w:rPr>
          <w:rFonts w:ascii="宋体" w:eastAsia="宋体" w:hAnsi="宋体" w:cs="宋体"/>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pPr>
        <w:widowControl/>
        <w:spacing w:line="360" w:lineRule="auto"/>
        <w:ind w:firstLine="372" w:firstLineChars="177"/>
        <w:jc w:val="left"/>
        <w:rPr>
          <w:rFonts w:ascii="宋体" w:eastAsia="宋体" w:hAnsi="宋体" w:cs="宋体"/>
          <w:kern w:val="0"/>
          <w:szCs w:val="21"/>
        </w:rPr>
      </w:pPr>
      <w:r>
        <w:rPr>
          <w:rFonts w:ascii="宋体" w:eastAsia="宋体" w:hAnsi="宋体" w:cs="宋体"/>
          <w:kern w:val="0"/>
          <w:szCs w:val="21"/>
        </w:rPr>
        <w:t>二、修订主要内容</w:t>
      </w:r>
    </w:p>
    <w:p>
      <w:pPr>
        <w:widowControl/>
        <w:spacing w:line="360" w:lineRule="auto"/>
        <w:ind w:firstLine="372" w:firstLineChars="177"/>
        <w:jc w:val="left"/>
        <w:rPr>
          <w:rFonts w:ascii="宋体" w:eastAsia="宋体" w:hAnsi="宋体" w:cs="宋体"/>
          <w:kern w:val="0"/>
          <w:szCs w:val="21"/>
        </w:rPr>
      </w:pPr>
      <w:r>
        <w:rPr>
          <w:rFonts w:ascii="宋体" w:eastAsia="宋体" w:hAnsi="宋体" w:cs="宋体"/>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pPr>
        <w:widowControl/>
        <w:spacing w:line="360" w:lineRule="auto"/>
        <w:ind w:firstLine="372" w:firstLineChars="177"/>
        <w:jc w:val="left"/>
        <w:rPr>
          <w:rFonts w:ascii="宋体" w:eastAsia="宋体" w:hAnsi="宋体" w:cs="宋体"/>
          <w:kern w:val="0"/>
          <w:szCs w:val="21"/>
        </w:rPr>
      </w:pPr>
      <w:r>
        <w:rPr>
          <w:rFonts w:ascii="宋体" w:eastAsia="宋体" w:hAnsi="宋体" w:cs="宋体"/>
          <w:kern w:val="0"/>
          <w:szCs w:val="21"/>
        </w:rPr>
        <w:t>将交通运输业中包括的“装卸搬运和运输代理业”修改为“多式联运和运输代理业、装卸搬运”。</w:t>
      </w:r>
    </w:p>
    <w:p>
      <w:pPr>
        <w:widowControl/>
        <w:spacing w:line="360" w:lineRule="auto"/>
        <w:jc w:val="left"/>
        <w:rPr>
          <w:rFonts w:ascii="宋体" w:eastAsia="宋体" w:hAnsi="宋体" w:cs="宋体"/>
          <w:kern w:val="0"/>
          <w:szCs w:val="21"/>
        </w:rPr>
      </w:pPr>
      <w:r>
        <w:rPr>
          <w:rFonts w:ascii="宋体" w:eastAsia="宋体" w:hAnsi="宋体" w:cs="宋体"/>
          <w:kern w:val="0"/>
          <w:szCs w:val="21"/>
        </w:rPr>
        <w:t>仓储业所包括的</w:t>
      </w:r>
      <w:r>
        <w:rPr>
          <w:rFonts w:ascii="宋体" w:eastAsia="宋体" w:hAnsi="宋体" w:cs="宋体" w:hint="eastAsia"/>
          <w:kern w:val="0"/>
          <w:szCs w:val="21"/>
          <w:lang w:eastAsia="zh-CN"/>
        </w:rPr>
        <w:t>行业种类</w:t>
      </w:r>
      <w:r>
        <w:rPr>
          <w:rFonts w:ascii="宋体" w:eastAsia="宋体" w:hAnsi="宋体" w:cs="宋体"/>
          <w:kern w:val="0"/>
          <w:szCs w:val="21"/>
        </w:rPr>
        <w:t>，根据《国民经济行业分类》（GB/T 4754—2017）调整为“通用仓储，低温仓储，危险品仓储，谷物、棉花等农产品仓储，中药材仓储和其他仓储业”。</w:t>
      </w:r>
    </w:p>
    <w:p>
      <w:pPr>
        <w:widowControl/>
        <w:spacing w:line="360" w:lineRule="auto"/>
        <w:jc w:val="left"/>
        <w:rPr>
          <w:rFonts w:ascii="宋体" w:eastAsia="宋体" w:hAnsi="宋体" w:cs="宋体"/>
          <w:kern w:val="0"/>
          <w:szCs w:val="21"/>
        </w:rPr>
      </w:pPr>
    </w:p>
    <w:p>
      <w:pPr>
        <w:widowControl/>
        <w:spacing w:line="360" w:lineRule="auto"/>
        <w:jc w:val="left"/>
        <w:rPr>
          <w:rFonts w:ascii="宋体" w:eastAsia="宋体" w:hAnsi="宋体" w:cs="宋体"/>
          <w:kern w:val="0"/>
          <w:szCs w:val="21"/>
        </w:rPr>
      </w:pPr>
      <w:r>
        <w:rPr>
          <w:rFonts w:ascii="宋体" w:eastAsia="宋体" w:hAnsi="宋体" w:cs="宋体"/>
          <w:kern w:val="0"/>
          <w:szCs w:val="21"/>
        </w:rPr>
        <w:t>附表</w:t>
      </w:r>
    </w:p>
    <w:p>
      <w:pPr>
        <w:widowControl/>
        <w:spacing w:line="360" w:lineRule="auto"/>
        <w:jc w:val="center"/>
        <w:rPr>
          <w:rFonts w:ascii="宋体" w:eastAsia="宋体" w:hAnsi="宋体" w:cs="宋体"/>
          <w:kern w:val="0"/>
          <w:szCs w:val="21"/>
        </w:rPr>
      </w:pPr>
      <w:r>
        <w:rPr>
          <w:rFonts w:ascii="宋体" w:eastAsia="宋体" w:hAnsi="宋体" w:cs="宋体"/>
          <w:b/>
          <w:bCs/>
          <w:kern w:val="0"/>
          <w:szCs w:val="21"/>
        </w:rPr>
        <w:t>统计上大中小微型企业划分标准</w:t>
      </w:r>
    </w:p>
    <w:tbl>
      <w:tblPr>
        <w:tblStyle w:val="TableNormal"/>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W w:w="0" w:type="auto"/>
          <w:jc w:val="center"/>
          <w:tblLayout w:type="fixed"/>
          <w:tblCellMar>
            <w:top w:w="0" w:type="dxa"/>
            <w:left w:w="108" w:type="dxa"/>
            <w:bottom w:w="0" w:type="dxa"/>
            <w:right w:w="108" w:type="dxa"/>
          </w:tblCellMar>
        </w:tblPrEx>
        <w:trPr>
          <w:trHeight w:hRule="exact" w:val="622"/>
          <w:jc w:val="center"/>
        </w:trPr>
        <w:tc>
          <w:tcPr>
            <w:tcW w:w="2113" w:type="dxa"/>
            <w:tcBorders>
              <w:top w:val="single" w:sz="4" w:space="0" w:color="auto"/>
              <w:left w:val="nil"/>
              <w:bottom w:val="single" w:sz="4" w:space="0" w:color="auto"/>
              <w:right w:val="single" w:sz="4" w:space="0" w:color="auto"/>
            </w:tcBorders>
            <w:noWrap w:val="0"/>
            <w:vAlign w:val="center"/>
          </w:tcPr>
          <w:p>
            <w:pPr>
              <w:widowControl/>
              <w:spacing w:line="240" w:lineRule="exact"/>
              <w:jc w:val="center"/>
              <w:rPr>
                <w:rFonts w:ascii="宋体" w:hAnsi="宋体" w:cs="宋体"/>
                <w:b/>
                <w:bCs/>
                <w:color w:val="000000"/>
                <w:kern w:val="0"/>
                <w:sz w:val="18"/>
                <w:szCs w:val="21"/>
              </w:rPr>
            </w:pPr>
            <w:r>
              <w:rPr>
                <w:rFonts w:ascii="宋体" w:hAnsi="宋体" w:cs="宋体" w:hint="eastAsia"/>
                <w:b/>
                <w:bCs/>
                <w:color w:val="000000"/>
                <w:kern w:val="0"/>
                <w:sz w:val="18"/>
                <w:szCs w:val="21"/>
              </w:rPr>
              <w:t>行业名称</w:t>
            </w:r>
          </w:p>
        </w:tc>
        <w:tc>
          <w:tcPr>
            <w:tcW w:w="1369" w:type="dxa"/>
            <w:tcBorders>
              <w:top w:val="single" w:sz="4" w:space="0" w:color="auto"/>
              <w:left w:val="nil"/>
              <w:bottom w:val="single" w:sz="4" w:space="0" w:color="auto"/>
              <w:right w:val="single" w:sz="4" w:space="0" w:color="auto"/>
            </w:tcBorders>
            <w:noWrap w:val="0"/>
            <w:vAlign w:val="center"/>
          </w:tcPr>
          <w:p>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指标名称</w:t>
            </w:r>
          </w:p>
        </w:tc>
        <w:tc>
          <w:tcPr>
            <w:tcW w:w="709" w:type="dxa"/>
            <w:tcBorders>
              <w:top w:val="single" w:sz="4" w:space="0" w:color="auto"/>
              <w:left w:val="nil"/>
              <w:bottom w:val="single" w:sz="4" w:space="0" w:color="auto"/>
              <w:right w:val="single" w:sz="4" w:space="0" w:color="auto"/>
            </w:tcBorders>
            <w:noWrap w:val="0"/>
            <w:vAlign w:val="center"/>
          </w:tcPr>
          <w:p>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计量</w:t>
            </w:r>
            <w:r>
              <w:rPr>
                <w:rFonts w:ascii="宋体" w:hAnsi="宋体" w:cs="宋体" w:hint="eastAsia"/>
                <w:b/>
                <w:bCs/>
                <w:color w:val="000000"/>
                <w:kern w:val="0"/>
                <w:sz w:val="18"/>
                <w:szCs w:val="18"/>
              </w:rPr>
              <w:br/>
            </w:r>
            <w:r>
              <w:rPr>
                <w:rFonts w:ascii="宋体" w:hAnsi="宋体" w:cs="宋体" w:hint="eastAsia"/>
                <w:b/>
                <w:bCs/>
                <w:color w:val="000000"/>
                <w:kern w:val="0"/>
                <w:sz w:val="18"/>
                <w:szCs w:val="18"/>
              </w:rPr>
              <w:t>单位</w:t>
            </w:r>
          </w:p>
        </w:tc>
        <w:tc>
          <w:tcPr>
            <w:tcW w:w="1125" w:type="dxa"/>
            <w:tcBorders>
              <w:top w:val="single" w:sz="4" w:space="0" w:color="auto"/>
              <w:left w:val="nil"/>
              <w:bottom w:val="single" w:sz="4" w:space="0" w:color="auto"/>
              <w:right w:val="single" w:sz="4" w:space="0" w:color="auto"/>
            </w:tcBorders>
            <w:noWrap w:val="0"/>
            <w:vAlign w:val="center"/>
          </w:tcPr>
          <w:p>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大型</w:t>
            </w:r>
          </w:p>
        </w:tc>
        <w:tc>
          <w:tcPr>
            <w:tcW w:w="1701" w:type="dxa"/>
            <w:tcBorders>
              <w:top w:val="single" w:sz="4" w:space="0" w:color="auto"/>
              <w:left w:val="nil"/>
              <w:bottom w:val="single" w:sz="4" w:space="0" w:color="auto"/>
              <w:right w:val="single" w:sz="4" w:space="0" w:color="auto"/>
            </w:tcBorders>
            <w:noWrap w:val="0"/>
            <w:vAlign w:val="center"/>
          </w:tcPr>
          <w:p>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中型</w:t>
            </w:r>
          </w:p>
        </w:tc>
        <w:tc>
          <w:tcPr>
            <w:tcW w:w="1426" w:type="dxa"/>
            <w:tcBorders>
              <w:top w:val="single" w:sz="4" w:space="0" w:color="auto"/>
              <w:left w:val="nil"/>
              <w:bottom w:val="single" w:sz="4" w:space="0" w:color="auto"/>
              <w:right w:val="single" w:sz="4" w:space="0" w:color="auto"/>
            </w:tcBorders>
            <w:noWrap w:val="0"/>
            <w:vAlign w:val="center"/>
          </w:tcPr>
          <w:p>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小型</w:t>
            </w:r>
          </w:p>
        </w:tc>
        <w:tc>
          <w:tcPr>
            <w:tcW w:w="992" w:type="dxa"/>
            <w:tcBorders>
              <w:top w:val="single" w:sz="4" w:space="0" w:color="auto"/>
              <w:left w:val="nil"/>
              <w:bottom w:val="single" w:sz="4" w:space="0" w:color="auto"/>
              <w:right w:val="nil"/>
            </w:tcBorders>
            <w:noWrap w:val="0"/>
            <w:vAlign w:val="center"/>
          </w:tcPr>
          <w:p>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微型</w:t>
            </w:r>
          </w:p>
        </w:tc>
      </w:tr>
      <w:tr>
        <w:tblPrEx>
          <w:tblW w:w="0" w:type="auto"/>
          <w:jc w:val="center"/>
          <w:tblLayout w:type="fixed"/>
          <w:tblCellMar>
            <w:top w:w="0" w:type="dxa"/>
            <w:left w:w="108" w:type="dxa"/>
            <w:bottom w:w="0" w:type="dxa"/>
            <w:right w:w="108" w:type="dxa"/>
          </w:tblCellMar>
        </w:tblPrEx>
        <w:trPr>
          <w:trHeight w:hRule="exact" w:val="397"/>
          <w:jc w:val="center"/>
        </w:trPr>
        <w:tc>
          <w:tcPr>
            <w:tcW w:w="2113" w:type="dxa"/>
            <w:tcBorders>
              <w:top w:val="nil"/>
              <w:left w:val="nil"/>
              <w:bottom w:val="single" w:sz="4" w:space="0" w:color="auto"/>
              <w:right w:val="single" w:sz="4" w:space="0" w:color="auto"/>
            </w:tcBorders>
            <w:noWrap w:val="0"/>
            <w:vAlign w:val="center"/>
          </w:tcPr>
          <w:p>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农、林、牧、渔业</w:t>
            </w:r>
          </w:p>
        </w:tc>
        <w:tc>
          <w:tcPr>
            <w:tcW w:w="1369"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50≤Y＜500</w:t>
            </w:r>
          </w:p>
        </w:tc>
        <w:tc>
          <w:tcPr>
            <w:tcW w:w="992" w:type="dxa"/>
            <w:tcBorders>
              <w:top w:val="nil"/>
              <w:left w:val="nil"/>
              <w:bottom w:val="single" w:sz="4" w:space="0" w:color="auto"/>
              <w:right w:val="nil"/>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tblPrEx>
          <w:tblW w:w="0" w:type="auto"/>
          <w:jc w:val="center"/>
          <w:tblLayout w:type="fixed"/>
          <w:tblCellMar>
            <w:top w:w="0" w:type="dxa"/>
            <w:left w:w="108" w:type="dxa"/>
            <w:bottom w:w="0" w:type="dxa"/>
            <w:right w:w="108" w:type="dxa"/>
          </w:tblCellMar>
        </w:tblPrEx>
        <w:trPr>
          <w:trHeight w:hRule="exact" w:val="397"/>
          <w:jc w:val="center"/>
        </w:trPr>
        <w:tc>
          <w:tcPr>
            <w:tcW w:w="2113" w:type="dxa"/>
            <w:vMerge w:val="restart"/>
            <w:tcBorders>
              <w:top w:val="nil"/>
              <w:left w:val="nil"/>
              <w:bottom w:val="single" w:sz="4" w:space="0" w:color="auto"/>
              <w:right w:val="single" w:sz="4" w:space="0" w:color="auto"/>
            </w:tcBorders>
            <w:noWrap w:val="0"/>
            <w:vAlign w:val="center"/>
          </w:tcPr>
          <w:p>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工业 *</w:t>
            </w:r>
          </w:p>
        </w:tc>
        <w:tc>
          <w:tcPr>
            <w:tcW w:w="1369"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tblPrEx>
          <w:tblW w:w="0" w:type="auto"/>
          <w:jc w:val="center"/>
          <w:tblLayout w:type="fixed"/>
          <w:tblCellMar>
            <w:top w:w="0" w:type="dxa"/>
            <w:left w:w="108" w:type="dxa"/>
            <w:bottom w:w="0" w:type="dxa"/>
            <w:right w:w="108" w:type="dxa"/>
          </w:tblCellMar>
        </w:tblPrEx>
        <w:trPr>
          <w:trHeight w:hRule="exact" w:val="397"/>
          <w:jc w:val="center"/>
        </w:trPr>
        <w:tc>
          <w:tcPr>
            <w:tcW w:w="2113" w:type="dxa"/>
            <w:vMerge/>
            <w:tcBorders>
              <w:top w:val="nil"/>
              <w:left w:val="nil"/>
              <w:bottom w:val="single" w:sz="4" w:space="0" w:color="auto"/>
              <w:right w:val="single" w:sz="4" w:space="0" w:color="auto"/>
            </w:tcBorders>
            <w:noWrap w:val="0"/>
            <w:vAlign w:val="center"/>
          </w:tcPr>
          <w:p>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noWrap w:val="0"/>
            <w:vAlign w:val="center"/>
          </w:tcPr>
          <w:p>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2000≤Y＜40000</w:t>
            </w:r>
          </w:p>
        </w:tc>
        <w:tc>
          <w:tcPr>
            <w:tcW w:w="1426"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300≤Y＜2000</w:t>
            </w:r>
          </w:p>
        </w:tc>
        <w:tc>
          <w:tcPr>
            <w:tcW w:w="992" w:type="dxa"/>
            <w:tcBorders>
              <w:top w:val="nil"/>
              <w:left w:val="nil"/>
              <w:bottom w:val="single" w:sz="4" w:space="0" w:color="auto"/>
              <w:right w:val="nil"/>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tblPrEx>
          <w:tblW w:w="0" w:type="auto"/>
          <w:jc w:val="center"/>
          <w:tblLayout w:type="fixed"/>
          <w:tblCellMar>
            <w:top w:w="0" w:type="dxa"/>
            <w:left w:w="108" w:type="dxa"/>
            <w:bottom w:w="0" w:type="dxa"/>
            <w:right w:w="108" w:type="dxa"/>
          </w:tblCellMar>
        </w:tblPrEx>
        <w:trPr>
          <w:trHeight w:hRule="exact" w:val="397"/>
          <w:jc w:val="center"/>
        </w:trPr>
        <w:tc>
          <w:tcPr>
            <w:tcW w:w="2113" w:type="dxa"/>
            <w:vMerge w:val="restart"/>
            <w:tcBorders>
              <w:top w:val="nil"/>
              <w:left w:val="nil"/>
              <w:bottom w:val="single" w:sz="4" w:space="0" w:color="auto"/>
              <w:right w:val="single" w:sz="4" w:space="0" w:color="auto"/>
            </w:tcBorders>
            <w:noWrap w:val="0"/>
            <w:vAlign w:val="center"/>
          </w:tcPr>
          <w:p>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建筑业</w:t>
            </w:r>
          </w:p>
        </w:tc>
        <w:tc>
          <w:tcPr>
            <w:tcW w:w="1369"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Y≥80000</w:t>
            </w:r>
          </w:p>
        </w:tc>
        <w:tc>
          <w:tcPr>
            <w:tcW w:w="1701"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6000≤Y＜80000</w:t>
            </w:r>
          </w:p>
        </w:tc>
        <w:tc>
          <w:tcPr>
            <w:tcW w:w="1426"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300≤Y＜6000</w:t>
            </w:r>
          </w:p>
        </w:tc>
        <w:tc>
          <w:tcPr>
            <w:tcW w:w="992" w:type="dxa"/>
            <w:tcBorders>
              <w:top w:val="nil"/>
              <w:left w:val="nil"/>
              <w:bottom w:val="nil"/>
              <w:right w:val="nil"/>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tblPrEx>
          <w:tblW w:w="0" w:type="auto"/>
          <w:jc w:val="center"/>
          <w:tblLayout w:type="fixed"/>
          <w:tblCellMar>
            <w:top w:w="0" w:type="dxa"/>
            <w:left w:w="108" w:type="dxa"/>
            <w:bottom w:w="0" w:type="dxa"/>
            <w:right w:w="108" w:type="dxa"/>
          </w:tblCellMar>
        </w:tblPrEx>
        <w:trPr>
          <w:trHeight w:hRule="exact" w:val="397"/>
          <w:jc w:val="center"/>
        </w:trPr>
        <w:tc>
          <w:tcPr>
            <w:tcW w:w="2113" w:type="dxa"/>
            <w:vMerge/>
            <w:tcBorders>
              <w:top w:val="nil"/>
              <w:left w:val="nil"/>
              <w:bottom w:val="single" w:sz="4" w:space="0" w:color="auto"/>
              <w:right w:val="single" w:sz="4" w:space="0" w:color="auto"/>
            </w:tcBorders>
            <w:noWrap w:val="0"/>
            <w:vAlign w:val="center"/>
          </w:tcPr>
          <w:p>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noWrap w:val="0"/>
            <w:vAlign w:val="center"/>
          </w:tcPr>
          <w:p>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Z≥80000</w:t>
            </w:r>
          </w:p>
        </w:tc>
        <w:tc>
          <w:tcPr>
            <w:tcW w:w="1701"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5000≤Z＜80000</w:t>
            </w:r>
          </w:p>
        </w:tc>
        <w:tc>
          <w:tcPr>
            <w:tcW w:w="1426"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300≤Z＜5000</w:t>
            </w:r>
          </w:p>
        </w:tc>
        <w:tc>
          <w:tcPr>
            <w:tcW w:w="992" w:type="dxa"/>
            <w:tcBorders>
              <w:top w:val="nil"/>
              <w:left w:val="nil"/>
              <w:bottom w:val="single" w:sz="4" w:space="0" w:color="auto"/>
              <w:right w:val="nil"/>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Z＜300</w:t>
            </w:r>
          </w:p>
        </w:tc>
      </w:tr>
      <w:tr>
        <w:tblPrEx>
          <w:tblW w:w="0" w:type="auto"/>
          <w:jc w:val="center"/>
          <w:tblLayout w:type="fixed"/>
          <w:tblCellMar>
            <w:top w:w="0" w:type="dxa"/>
            <w:left w:w="108" w:type="dxa"/>
            <w:bottom w:w="0" w:type="dxa"/>
            <w:right w:w="108" w:type="dxa"/>
          </w:tblCellMar>
        </w:tblPrEx>
        <w:trPr>
          <w:trHeight w:hRule="exact" w:val="397"/>
          <w:jc w:val="center"/>
        </w:trPr>
        <w:tc>
          <w:tcPr>
            <w:tcW w:w="2113" w:type="dxa"/>
            <w:vMerge w:val="restart"/>
            <w:tcBorders>
              <w:top w:val="nil"/>
              <w:left w:val="nil"/>
              <w:bottom w:val="single" w:sz="4" w:space="0" w:color="auto"/>
              <w:right w:val="single" w:sz="4" w:space="0" w:color="auto"/>
            </w:tcBorders>
            <w:noWrap w:val="0"/>
            <w:vAlign w:val="center"/>
          </w:tcPr>
          <w:p>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批发业</w:t>
            </w:r>
          </w:p>
        </w:tc>
        <w:tc>
          <w:tcPr>
            <w:tcW w:w="1369"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20≤X＜200</w:t>
            </w:r>
          </w:p>
        </w:tc>
        <w:tc>
          <w:tcPr>
            <w:tcW w:w="1426"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5≤X＜20</w:t>
            </w:r>
          </w:p>
        </w:tc>
        <w:tc>
          <w:tcPr>
            <w:tcW w:w="992" w:type="dxa"/>
            <w:tcBorders>
              <w:top w:val="nil"/>
              <w:left w:val="nil"/>
              <w:bottom w:val="nil"/>
              <w:right w:val="nil"/>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X＜5</w:t>
            </w:r>
          </w:p>
        </w:tc>
      </w:tr>
      <w:tr>
        <w:tblPrEx>
          <w:tblW w:w="0" w:type="auto"/>
          <w:jc w:val="center"/>
          <w:tblLayout w:type="fixed"/>
          <w:tblCellMar>
            <w:top w:w="0" w:type="dxa"/>
            <w:left w:w="108" w:type="dxa"/>
            <w:bottom w:w="0" w:type="dxa"/>
            <w:right w:w="108" w:type="dxa"/>
          </w:tblCellMar>
        </w:tblPrEx>
        <w:trPr>
          <w:trHeight w:hRule="exact" w:val="397"/>
          <w:jc w:val="center"/>
        </w:trPr>
        <w:tc>
          <w:tcPr>
            <w:tcW w:w="2113" w:type="dxa"/>
            <w:vMerge/>
            <w:tcBorders>
              <w:top w:val="nil"/>
              <w:left w:val="nil"/>
              <w:bottom w:val="single" w:sz="4" w:space="0" w:color="auto"/>
              <w:right w:val="single" w:sz="4" w:space="0" w:color="auto"/>
            </w:tcBorders>
            <w:noWrap w:val="0"/>
            <w:vAlign w:val="center"/>
          </w:tcPr>
          <w:p>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noWrap w:val="0"/>
            <w:vAlign w:val="center"/>
          </w:tcPr>
          <w:p>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5000≤Y＜40000</w:t>
            </w:r>
          </w:p>
        </w:tc>
        <w:tc>
          <w:tcPr>
            <w:tcW w:w="1426" w:type="dxa"/>
            <w:tcBorders>
              <w:top w:val="nil"/>
              <w:left w:val="nil"/>
              <w:bottom w:val="single" w:sz="4" w:space="0" w:color="auto"/>
              <w:right w:val="single" w:sz="4" w:space="0" w:color="auto"/>
            </w:tcBorders>
            <w:noWrap w:val="0"/>
            <w:vAlign w:val="center"/>
          </w:tcPr>
          <w:p>
            <w:pPr>
              <w:widowControl/>
              <w:ind w:left="-1" w:hanging="1" w:leftChars="-1"/>
              <w:jc w:val="center"/>
              <w:rPr>
                <w:rFonts w:ascii="宋体" w:hAnsi="宋体" w:cs="宋体"/>
                <w:color w:val="000000"/>
                <w:kern w:val="0"/>
                <w:sz w:val="18"/>
                <w:szCs w:val="18"/>
              </w:rPr>
            </w:pPr>
            <w:r>
              <w:rPr>
                <w:rFonts w:ascii="宋体" w:hAnsi="宋体" w:cs="宋体" w:hint="eastAsia"/>
                <w:color w:val="000000"/>
                <w:kern w:val="0"/>
                <w:sz w:val="18"/>
                <w:szCs w:val="18"/>
              </w:rPr>
              <w:t>1000≤Y＜5000</w:t>
            </w:r>
          </w:p>
        </w:tc>
        <w:tc>
          <w:tcPr>
            <w:tcW w:w="992" w:type="dxa"/>
            <w:tcBorders>
              <w:top w:val="nil"/>
              <w:left w:val="nil"/>
              <w:bottom w:val="single" w:sz="4" w:space="0" w:color="auto"/>
              <w:right w:val="nil"/>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w:t>
            </w:r>
          </w:p>
        </w:tc>
      </w:tr>
      <w:tr>
        <w:tblPrEx>
          <w:tblW w:w="0" w:type="auto"/>
          <w:jc w:val="center"/>
          <w:tblLayout w:type="fixed"/>
          <w:tblCellMar>
            <w:top w:w="0" w:type="dxa"/>
            <w:left w:w="108" w:type="dxa"/>
            <w:bottom w:w="0" w:type="dxa"/>
            <w:right w:w="108" w:type="dxa"/>
          </w:tblCellMar>
        </w:tblPrEx>
        <w:trPr>
          <w:trHeight w:hRule="exact" w:val="397"/>
          <w:jc w:val="center"/>
        </w:trPr>
        <w:tc>
          <w:tcPr>
            <w:tcW w:w="2113" w:type="dxa"/>
            <w:vMerge w:val="restart"/>
            <w:tcBorders>
              <w:top w:val="nil"/>
              <w:left w:val="nil"/>
              <w:bottom w:val="single" w:sz="4" w:space="0" w:color="auto"/>
              <w:right w:val="single" w:sz="4" w:space="0" w:color="auto"/>
            </w:tcBorders>
            <w:noWrap w:val="0"/>
            <w:vAlign w:val="center"/>
          </w:tcPr>
          <w:p>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零售业</w:t>
            </w:r>
          </w:p>
        </w:tc>
        <w:tc>
          <w:tcPr>
            <w:tcW w:w="1369"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50≤X＜300</w:t>
            </w:r>
          </w:p>
        </w:tc>
        <w:tc>
          <w:tcPr>
            <w:tcW w:w="1426" w:type="dxa"/>
            <w:tcBorders>
              <w:top w:val="nil"/>
              <w:left w:val="nil"/>
              <w:bottom w:val="nil"/>
              <w:right w:val="single" w:sz="4" w:space="0" w:color="auto"/>
            </w:tcBorders>
            <w:noWrap w:val="0"/>
            <w:vAlign w:val="center"/>
          </w:tcPr>
          <w:p>
            <w:pPr>
              <w:widowControl/>
              <w:ind w:left="-1" w:hanging="1" w:leftChars="-1"/>
              <w:jc w:val="center"/>
              <w:rPr>
                <w:rFonts w:ascii="宋体" w:hAnsi="宋体" w:cs="宋体"/>
                <w:color w:val="000000"/>
                <w:kern w:val="0"/>
                <w:sz w:val="18"/>
                <w:szCs w:val="18"/>
              </w:rPr>
            </w:pPr>
            <w:r>
              <w:rPr>
                <w:rFonts w:ascii="宋体" w:hAnsi="宋体" w:cs="宋体" w:hint="eastAsia"/>
                <w:color w:val="000000"/>
                <w:kern w:val="0"/>
                <w:sz w:val="18"/>
                <w:szCs w:val="18"/>
              </w:rPr>
              <w:t xml:space="preserve">10≤X＜50 </w:t>
            </w:r>
          </w:p>
        </w:tc>
        <w:tc>
          <w:tcPr>
            <w:tcW w:w="992" w:type="dxa"/>
            <w:tcBorders>
              <w:top w:val="nil"/>
              <w:left w:val="nil"/>
              <w:bottom w:val="nil"/>
              <w:right w:val="nil"/>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tblPrEx>
          <w:tblW w:w="0" w:type="auto"/>
          <w:jc w:val="center"/>
          <w:tblLayout w:type="fixed"/>
          <w:tblCellMar>
            <w:top w:w="0" w:type="dxa"/>
            <w:left w:w="108" w:type="dxa"/>
            <w:bottom w:w="0" w:type="dxa"/>
            <w:right w:w="108" w:type="dxa"/>
          </w:tblCellMar>
        </w:tblPrEx>
        <w:trPr>
          <w:trHeight w:hRule="exact" w:val="397"/>
          <w:jc w:val="center"/>
        </w:trPr>
        <w:tc>
          <w:tcPr>
            <w:tcW w:w="2113" w:type="dxa"/>
            <w:vMerge/>
            <w:tcBorders>
              <w:top w:val="nil"/>
              <w:left w:val="nil"/>
              <w:bottom w:val="single" w:sz="4" w:space="0" w:color="auto"/>
              <w:right w:val="single" w:sz="4" w:space="0" w:color="auto"/>
            </w:tcBorders>
            <w:noWrap w:val="0"/>
            <w:vAlign w:val="center"/>
          </w:tcPr>
          <w:p>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noWrap w:val="0"/>
            <w:vAlign w:val="center"/>
          </w:tcPr>
          <w:p>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noWrap w:val="0"/>
            <w:vAlign w:val="center"/>
          </w:tcPr>
          <w:p>
            <w:pPr>
              <w:widowControl/>
              <w:ind w:left="-1" w:hanging="1" w:leftChars="-1"/>
              <w:jc w:val="center"/>
              <w:rPr>
                <w:rFonts w:ascii="宋体" w:hAnsi="宋体" w:cs="宋体"/>
                <w:color w:val="000000"/>
                <w:kern w:val="0"/>
                <w:sz w:val="18"/>
                <w:szCs w:val="18"/>
              </w:rPr>
            </w:pPr>
            <w:r>
              <w:rPr>
                <w:rFonts w:ascii="宋体" w:hAnsi="宋体" w:cs="宋体" w:hint="eastAsia"/>
                <w:color w:val="000000"/>
                <w:kern w:val="0"/>
                <w:sz w:val="18"/>
                <w:szCs w:val="18"/>
              </w:rPr>
              <w:t xml:space="preserve">100≤Y＜500 </w:t>
            </w:r>
          </w:p>
        </w:tc>
        <w:tc>
          <w:tcPr>
            <w:tcW w:w="992" w:type="dxa"/>
            <w:tcBorders>
              <w:top w:val="nil"/>
              <w:left w:val="nil"/>
              <w:bottom w:val="single" w:sz="4" w:space="0" w:color="auto"/>
              <w:right w:val="nil"/>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tblPrEx>
          <w:tblW w:w="0" w:type="auto"/>
          <w:jc w:val="center"/>
          <w:tblLayout w:type="fixed"/>
          <w:tblCellMar>
            <w:top w:w="0" w:type="dxa"/>
            <w:left w:w="108" w:type="dxa"/>
            <w:bottom w:w="0" w:type="dxa"/>
            <w:right w:w="108" w:type="dxa"/>
          </w:tblCellMar>
        </w:tblPrEx>
        <w:trPr>
          <w:trHeight w:hRule="exact" w:val="397"/>
          <w:jc w:val="center"/>
        </w:trPr>
        <w:tc>
          <w:tcPr>
            <w:tcW w:w="2113" w:type="dxa"/>
            <w:vMerge w:val="restart"/>
            <w:tcBorders>
              <w:top w:val="nil"/>
              <w:left w:val="nil"/>
              <w:bottom w:val="single" w:sz="4" w:space="0" w:color="auto"/>
              <w:right w:val="single" w:sz="4" w:space="0" w:color="auto"/>
            </w:tcBorders>
            <w:noWrap w:val="0"/>
            <w:vAlign w:val="center"/>
          </w:tcPr>
          <w:p>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交通运输业 *</w:t>
            </w:r>
          </w:p>
        </w:tc>
        <w:tc>
          <w:tcPr>
            <w:tcW w:w="1369"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tblPrEx>
          <w:tblW w:w="0" w:type="auto"/>
          <w:jc w:val="center"/>
          <w:tblLayout w:type="fixed"/>
          <w:tblCellMar>
            <w:top w:w="0" w:type="dxa"/>
            <w:left w:w="108" w:type="dxa"/>
            <w:bottom w:w="0" w:type="dxa"/>
            <w:right w:w="108" w:type="dxa"/>
          </w:tblCellMar>
        </w:tblPrEx>
        <w:trPr>
          <w:trHeight w:hRule="exact" w:val="397"/>
          <w:jc w:val="center"/>
        </w:trPr>
        <w:tc>
          <w:tcPr>
            <w:tcW w:w="2113" w:type="dxa"/>
            <w:vMerge/>
            <w:tcBorders>
              <w:top w:val="nil"/>
              <w:left w:val="nil"/>
              <w:bottom w:val="single" w:sz="4" w:space="0" w:color="auto"/>
              <w:right w:val="single" w:sz="4" w:space="0" w:color="auto"/>
            </w:tcBorders>
            <w:noWrap w:val="0"/>
            <w:vAlign w:val="center"/>
          </w:tcPr>
          <w:p>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noWrap w:val="0"/>
            <w:vAlign w:val="center"/>
          </w:tcPr>
          <w:p>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3000≤Y＜30000</w:t>
            </w:r>
          </w:p>
        </w:tc>
        <w:tc>
          <w:tcPr>
            <w:tcW w:w="1426"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200≤Y＜3000</w:t>
            </w:r>
          </w:p>
        </w:tc>
        <w:tc>
          <w:tcPr>
            <w:tcW w:w="992" w:type="dxa"/>
            <w:tcBorders>
              <w:top w:val="nil"/>
              <w:left w:val="nil"/>
              <w:bottom w:val="single" w:sz="4" w:space="0" w:color="auto"/>
              <w:right w:val="nil"/>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Y＜200</w:t>
            </w:r>
          </w:p>
        </w:tc>
      </w:tr>
      <w:tr>
        <w:tblPrEx>
          <w:tblW w:w="0" w:type="auto"/>
          <w:jc w:val="center"/>
          <w:tblLayout w:type="fixed"/>
          <w:tblCellMar>
            <w:top w:w="0" w:type="dxa"/>
            <w:left w:w="108" w:type="dxa"/>
            <w:bottom w:w="0" w:type="dxa"/>
            <w:right w:w="108" w:type="dxa"/>
          </w:tblCellMar>
        </w:tblPrEx>
        <w:trPr>
          <w:trHeight w:hRule="exact" w:val="397"/>
          <w:jc w:val="center"/>
        </w:trPr>
        <w:tc>
          <w:tcPr>
            <w:tcW w:w="2113" w:type="dxa"/>
            <w:vMerge w:val="restart"/>
            <w:tcBorders>
              <w:top w:val="nil"/>
              <w:left w:val="nil"/>
              <w:bottom w:val="single" w:sz="4" w:space="0" w:color="auto"/>
              <w:right w:val="single" w:sz="4" w:space="0" w:color="auto"/>
            </w:tcBorders>
            <w:noWrap w:val="0"/>
            <w:vAlign w:val="center"/>
          </w:tcPr>
          <w:p>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仓储业*</w:t>
            </w:r>
          </w:p>
        </w:tc>
        <w:tc>
          <w:tcPr>
            <w:tcW w:w="1369"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noWrap w:val="0"/>
            <w:vAlign w:val="center"/>
          </w:tcPr>
          <w:p>
            <w:pPr>
              <w:widowControl/>
              <w:ind w:left="19" w:hanging="126" w:leftChars="-51" w:hangingChars="60"/>
              <w:jc w:val="center"/>
              <w:rPr>
                <w:rFonts w:ascii="宋体" w:hAnsi="宋体" w:cs="宋体"/>
                <w:color w:val="000000"/>
                <w:kern w:val="0"/>
                <w:sz w:val="18"/>
                <w:szCs w:val="18"/>
              </w:rPr>
            </w:pPr>
            <w:r>
              <w:rPr>
                <w:rFonts w:ascii="宋体" w:hAnsi="宋体" w:cs="宋体" w:hint="eastAsia"/>
                <w:color w:val="000000"/>
                <w:kern w:val="0"/>
                <w:sz w:val="18"/>
                <w:szCs w:val="18"/>
              </w:rPr>
              <w:t>100≤X＜200</w:t>
            </w:r>
          </w:p>
        </w:tc>
        <w:tc>
          <w:tcPr>
            <w:tcW w:w="1426"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20≤X＜100</w:t>
            </w:r>
          </w:p>
        </w:tc>
        <w:tc>
          <w:tcPr>
            <w:tcW w:w="992" w:type="dxa"/>
            <w:tcBorders>
              <w:top w:val="nil"/>
              <w:left w:val="nil"/>
              <w:bottom w:val="nil"/>
              <w:right w:val="nil"/>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tblPrEx>
          <w:tblW w:w="0" w:type="auto"/>
          <w:jc w:val="center"/>
          <w:tblLayout w:type="fixed"/>
          <w:tblCellMar>
            <w:top w:w="0" w:type="dxa"/>
            <w:left w:w="108" w:type="dxa"/>
            <w:bottom w:w="0" w:type="dxa"/>
            <w:right w:w="108" w:type="dxa"/>
          </w:tblCellMar>
        </w:tblPrEx>
        <w:trPr>
          <w:trHeight w:hRule="exact" w:val="397"/>
          <w:jc w:val="center"/>
        </w:trPr>
        <w:tc>
          <w:tcPr>
            <w:tcW w:w="2113" w:type="dxa"/>
            <w:vMerge/>
            <w:tcBorders>
              <w:top w:val="nil"/>
              <w:left w:val="nil"/>
              <w:bottom w:val="single" w:sz="4" w:space="0" w:color="auto"/>
              <w:right w:val="single" w:sz="4" w:space="0" w:color="auto"/>
            </w:tcBorders>
            <w:noWrap w:val="0"/>
            <w:vAlign w:val="center"/>
          </w:tcPr>
          <w:p>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noWrap w:val="0"/>
            <w:vAlign w:val="center"/>
          </w:tcPr>
          <w:p>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1000≤Y＜30000</w:t>
            </w:r>
          </w:p>
        </w:tc>
        <w:tc>
          <w:tcPr>
            <w:tcW w:w="1426"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tblPrEx>
          <w:tblW w:w="0" w:type="auto"/>
          <w:jc w:val="center"/>
          <w:tblLayout w:type="fixed"/>
          <w:tblCellMar>
            <w:top w:w="0" w:type="dxa"/>
            <w:left w:w="108" w:type="dxa"/>
            <w:bottom w:w="0" w:type="dxa"/>
            <w:right w:w="108" w:type="dxa"/>
          </w:tblCellMar>
        </w:tblPrEx>
        <w:trPr>
          <w:trHeight w:hRule="exact" w:val="397"/>
          <w:jc w:val="center"/>
        </w:trPr>
        <w:tc>
          <w:tcPr>
            <w:tcW w:w="2113" w:type="dxa"/>
            <w:vMerge w:val="restart"/>
            <w:tcBorders>
              <w:top w:val="nil"/>
              <w:left w:val="nil"/>
              <w:bottom w:val="single" w:sz="4" w:space="0" w:color="auto"/>
              <w:right w:val="single" w:sz="4" w:space="0" w:color="auto"/>
            </w:tcBorders>
            <w:noWrap w:val="0"/>
            <w:vAlign w:val="center"/>
          </w:tcPr>
          <w:p>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邮政业</w:t>
            </w:r>
          </w:p>
        </w:tc>
        <w:tc>
          <w:tcPr>
            <w:tcW w:w="1369"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tblPrEx>
          <w:tblW w:w="0" w:type="auto"/>
          <w:jc w:val="center"/>
          <w:tblLayout w:type="fixed"/>
          <w:tblCellMar>
            <w:top w:w="0" w:type="dxa"/>
            <w:left w:w="108" w:type="dxa"/>
            <w:bottom w:w="0" w:type="dxa"/>
            <w:right w:w="108" w:type="dxa"/>
          </w:tblCellMar>
        </w:tblPrEx>
        <w:trPr>
          <w:trHeight w:hRule="exact" w:val="397"/>
          <w:jc w:val="center"/>
        </w:trPr>
        <w:tc>
          <w:tcPr>
            <w:tcW w:w="2113" w:type="dxa"/>
            <w:vMerge/>
            <w:tcBorders>
              <w:top w:val="nil"/>
              <w:left w:val="nil"/>
              <w:bottom w:val="single" w:sz="4" w:space="0" w:color="auto"/>
              <w:right w:val="single" w:sz="4" w:space="0" w:color="auto"/>
            </w:tcBorders>
            <w:noWrap w:val="0"/>
            <w:vAlign w:val="center"/>
          </w:tcPr>
          <w:p>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noWrap w:val="0"/>
            <w:vAlign w:val="center"/>
          </w:tcPr>
          <w:p>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2000≤Y＜30000</w:t>
            </w:r>
          </w:p>
        </w:tc>
        <w:tc>
          <w:tcPr>
            <w:tcW w:w="1426"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tblPrEx>
          <w:tblW w:w="0" w:type="auto"/>
          <w:jc w:val="center"/>
          <w:tblLayout w:type="fixed"/>
          <w:tblCellMar>
            <w:top w:w="0" w:type="dxa"/>
            <w:left w:w="108" w:type="dxa"/>
            <w:bottom w:w="0" w:type="dxa"/>
            <w:right w:w="108" w:type="dxa"/>
          </w:tblCellMar>
        </w:tblPrEx>
        <w:trPr>
          <w:trHeight w:hRule="exact" w:val="397"/>
          <w:jc w:val="center"/>
        </w:trPr>
        <w:tc>
          <w:tcPr>
            <w:tcW w:w="2113" w:type="dxa"/>
            <w:vMerge w:val="restart"/>
            <w:tcBorders>
              <w:top w:val="nil"/>
              <w:left w:val="nil"/>
              <w:bottom w:val="single" w:sz="4" w:space="0" w:color="auto"/>
              <w:right w:val="single" w:sz="4" w:space="0" w:color="auto"/>
            </w:tcBorders>
            <w:noWrap w:val="0"/>
            <w:vAlign w:val="center"/>
          </w:tcPr>
          <w:p>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住宿业</w:t>
            </w:r>
          </w:p>
        </w:tc>
        <w:tc>
          <w:tcPr>
            <w:tcW w:w="1369"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noWrap w:val="0"/>
            <w:vAlign w:val="center"/>
          </w:tcPr>
          <w:p>
            <w:pPr>
              <w:widowControl/>
              <w:ind w:left="19" w:hanging="126" w:leftChars="-51" w:hangingChars="60"/>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tblPrEx>
          <w:tblW w:w="0" w:type="auto"/>
          <w:jc w:val="center"/>
          <w:tblLayout w:type="fixed"/>
          <w:tblCellMar>
            <w:top w:w="0" w:type="dxa"/>
            <w:left w:w="108" w:type="dxa"/>
            <w:bottom w:w="0" w:type="dxa"/>
            <w:right w:w="108" w:type="dxa"/>
          </w:tblCellMar>
        </w:tblPrEx>
        <w:trPr>
          <w:trHeight w:hRule="exact" w:val="397"/>
          <w:jc w:val="center"/>
        </w:trPr>
        <w:tc>
          <w:tcPr>
            <w:tcW w:w="2113" w:type="dxa"/>
            <w:vMerge/>
            <w:tcBorders>
              <w:top w:val="nil"/>
              <w:left w:val="nil"/>
              <w:bottom w:val="single" w:sz="4" w:space="0" w:color="auto"/>
              <w:right w:val="single" w:sz="4" w:space="0" w:color="auto"/>
            </w:tcBorders>
            <w:noWrap w:val="0"/>
            <w:vAlign w:val="center"/>
          </w:tcPr>
          <w:p>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noWrap w:val="0"/>
            <w:vAlign w:val="center"/>
          </w:tcPr>
          <w:p>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tblPrEx>
          <w:tblW w:w="0" w:type="auto"/>
          <w:jc w:val="center"/>
          <w:tblLayout w:type="fixed"/>
          <w:tblCellMar>
            <w:top w:w="0" w:type="dxa"/>
            <w:left w:w="108" w:type="dxa"/>
            <w:bottom w:w="0" w:type="dxa"/>
            <w:right w:w="108" w:type="dxa"/>
          </w:tblCellMar>
        </w:tblPrEx>
        <w:trPr>
          <w:trHeight w:hRule="exact" w:val="397"/>
          <w:jc w:val="center"/>
        </w:trPr>
        <w:tc>
          <w:tcPr>
            <w:tcW w:w="2113" w:type="dxa"/>
            <w:vMerge w:val="restart"/>
            <w:tcBorders>
              <w:top w:val="nil"/>
              <w:left w:val="nil"/>
              <w:bottom w:val="single" w:sz="4" w:space="0" w:color="auto"/>
              <w:right w:val="single" w:sz="4" w:space="0" w:color="auto"/>
            </w:tcBorders>
            <w:noWrap w:val="0"/>
            <w:vAlign w:val="center"/>
          </w:tcPr>
          <w:p>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餐饮业</w:t>
            </w:r>
          </w:p>
        </w:tc>
        <w:tc>
          <w:tcPr>
            <w:tcW w:w="1369"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noWrap w:val="0"/>
            <w:vAlign w:val="center"/>
          </w:tcPr>
          <w:p>
            <w:pPr>
              <w:widowControl/>
              <w:ind w:left="19" w:hanging="126" w:leftChars="-51" w:hangingChars="60"/>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tblPrEx>
          <w:tblW w:w="0" w:type="auto"/>
          <w:jc w:val="center"/>
          <w:tblLayout w:type="fixed"/>
          <w:tblCellMar>
            <w:top w:w="0" w:type="dxa"/>
            <w:left w:w="108" w:type="dxa"/>
            <w:bottom w:w="0" w:type="dxa"/>
            <w:right w:w="108" w:type="dxa"/>
          </w:tblCellMar>
        </w:tblPrEx>
        <w:trPr>
          <w:trHeight w:hRule="exact" w:val="397"/>
          <w:jc w:val="center"/>
        </w:trPr>
        <w:tc>
          <w:tcPr>
            <w:tcW w:w="2113" w:type="dxa"/>
            <w:vMerge/>
            <w:tcBorders>
              <w:top w:val="nil"/>
              <w:left w:val="nil"/>
              <w:bottom w:val="single" w:sz="4" w:space="0" w:color="auto"/>
              <w:right w:val="single" w:sz="4" w:space="0" w:color="auto"/>
            </w:tcBorders>
            <w:noWrap w:val="0"/>
            <w:vAlign w:val="center"/>
          </w:tcPr>
          <w:p>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noWrap w:val="0"/>
            <w:vAlign w:val="center"/>
          </w:tcPr>
          <w:p>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tblPrEx>
          <w:tblW w:w="0" w:type="auto"/>
          <w:jc w:val="center"/>
          <w:tblLayout w:type="fixed"/>
          <w:tblCellMar>
            <w:top w:w="0" w:type="dxa"/>
            <w:left w:w="108" w:type="dxa"/>
            <w:bottom w:w="0" w:type="dxa"/>
            <w:right w:w="108" w:type="dxa"/>
          </w:tblCellMar>
        </w:tblPrEx>
        <w:trPr>
          <w:trHeight w:hRule="exact" w:val="397"/>
          <w:jc w:val="center"/>
        </w:trPr>
        <w:tc>
          <w:tcPr>
            <w:tcW w:w="2113" w:type="dxa"/>
            <w:vMerge w:val="restart"/>
            <w:tcBorders>
              <w:top w:val="nil"/>
              <w:left w:val="nil"/>
              <w:bottom w:val="single" w:sz="4" w:space="0" w:color="auto"/>
              <w:right w:val="single" w:sz="4" w:space="0" w:color="auto"/>
            </w:tcBorders>
            <w:noWrap w:val="0"/>
            <w:vAlign w:val="center"/>
          </w:tcPr>
          <w:p>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信息传输业 *</w:t>
            </w:r>
          </w:p>
        </w:tc>
        <w:tc>
          <w:tcPr>
            <w:tcW w:w="1369"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X≥2000</w:t>
            </w:r>
          </w:p>
        </w:tc>
        <w:tc>
          <w:tcPr>
            <w:tcW w:w="1701"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100≤X＜2000</w:t>
            </w:r>
          </w:p>
        </w:tc>
        <w:tc>
          <w:tcPr>
            <w:tcW w:w="1426"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tblPrEx>
          <w:tblW w:w="0" w:type="auto"/>
          <w:jc w:val="center"/>
          <w:tblLayout w:type="fixed"/>
          <w:tblCellMar>
            <w:top w:w="0" w:type="dxa"/>
            <w:left w:w="108" w:type="dxa"/>
            <w:bottom w:w="0" w:type="dxa"/>
            <w:right w:w="108" w:type="dxa"/>
          </w:tblCellMar>
        </w:tblPrEx>
        <w:trPr>
          <w:trHeight w:hRule="exact" w:val="397"/>
          <w:jc w:val="center"/>
        </w:trPr>
        <w:tc>
          <w:tcPr>
            <w:tcW w:w="2113" w:type="dxa"/>
            <w:vMerge/>
            <w:tcBorders>
              <w:top w:val="nil"/>
              <w:left w:val="nil"/>
              <w:bottom w:val="single" w:sz="4" w:space="0" w:color="auto"/>
              <w:right w:val="single" w:sz="4" w:space="0" w:color="auto"/>
            </w:tcBorders>
            <w:noWrap w:val="0"/>
            <w:vAlign w:val="center"/>
          </w:tcPr>
          <w:p>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noWrap w:val="0"/>
            <w:vAlign w:val="center"/>
          </w:tcPr>
          <w:p>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Y≥100000</w:t>
            </w:r>
          </w:p>
        </w:tc>
        <w:tc>
          <w:tcPr>
            <w:tcW w:w="1701"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1000≤Y＜100000</w:t>
            </w:r>
          </w:p>
        </w:tc>
        <w:tc>
          <w:tcPr>
            <w:tcW w:w="1426"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tblPrEx>
          <w:tblW w:w="0" w:type="auto"/>
          <w:jc w:val="center"/>
          <w:tblLayout w:type="fixed"/>
          <w:tblCellMar>
            <w:top w:w="0" w:type="dxa"/>
            <w:left w:w="108" w:type="dxa"/>
            <w:bottom w:w="0" w:type="dxa"/>
            <w:right w:w="108" w:type="dxa"/>
          </w:tblCellMar>
        </w:tblPrEx>
        <w:trPr>
          <w:trHeight w:hRule="exact" w:val="340"/>
          <w:jc w:val="center"/>
        </w:trPr>
        <w:tc>
          <w:tcPr>
            <w:tcW w:w="2113" w:type="dxa"/>
            <w:vMerge w:val="restart"/>
            <w:tcBorders>
              <w:top w:val="single" w:sz="4" w:space="0" w:color="auto"/>
              <w:left w:val="nil"/>
              <w:bottom w:val="single" w:sz="4" w:space="0" w:color="auto"/>
              <w:right w:val="single" w:sz="4" w:space="0" w:color="auto"/>
            </w:tcBorders>
            <w:noWrap w:val="0"/>
            <w:vAlign w:val="center"/>
          </w:tcPr>
          <w:p>
            <w:pPr>
              <w:widowControl/>
              <w:spacing w:line="240" w:lineRule="exact"/>
              <w:jc w:val="left"/>
              <w:rPr>
                <w:rFonts w:ascii="宋体" w:hAnsi="宋体" w:cs="宋体"/>
                <w:color w:val="000000"/>
                <w:spacing w:val="-12"/>
                <w:kern w:val="0"/>
                <w:sz w:val="18"/>
                <w:szCs w:val="18"/>
              </w:rPr>
            </w:pPr>
            <w:r>
              <w:rPr>
                <w:rFonts w:ascii="宋体" w:hAnsi="宋体" w:cs="宋体" w:hint="eastAsia"/>
                <w:color w:val="000000"/>
                <w:spacing w:val="-12"/>
                <w:kern w:val="0"/>
                <w:sz w:val="18"/>
                <w:szCs w:val="18"/>
              </w:rPr>
              <w:t>软件和信息技术服</w:t>
            </w:r>
            <w:r>
              <w:rPr>
                <w:rFonts w:ascii="宋体" w:hAnsi="宋体" w:cs="宋体" w:hint="eastAsia"/>
                <w:color w:val="000000"/>
                <w:kern w:val="0"/>
                <w:sz w:val="18"/>
                <w:szCs w:val="18"/>
              </w:rPr>
              <w:t>务业</w:t>
            </w:r>
          </w:p>
        </w:tc>
        <w:tc>
          <w:tcPr>
            <w:tcW w:w="1369"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noWrap w:val="0"/>
            <w:vAlign w:val="center"/>
          </w:tcPr>
          <w:p>
            <w:pPr>
              <w:widowControl/>
              <w:ind w:left="19" w:hanging="126" w:leftChars="-51" w:hangingChars="60"/>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tblPrEx>
          <w:tblW w:w="0" w:type="auto"/>
          <w:jc w:val="center"/>
          <w:tblLayout w:type="fixed"/>
          <w:tblCellMar>
            <w:top w:w="0" w:type="dxa"/>
            <w:left w:w="108" w:type="dxa"/>
            <w:bottom w:w="0" w:type="dxa"/>
            <w:right w:w="108" w:type="dxa"/>
          </w:tblCellMar>
        </w:tblPrEx>
        <w:trPr>
          <w:trHeight w:hRule="exact" w:val="340"/>
          <w:jc w:val="center"/>
        </w:trPr>
        <w:tc>
          <w:tcPr>
            <w:tcW w:w="2113" w:type="dxa"/>
            <w:vMerge/>
            <w:tcBorders>
              <w:top w:val="single" w:sz="4" w:space="0" w:color="auto"/>
              <w:left w:val="nil"/>
              <w:bottom w:val="single" w:sz="4" w:space="0" w:color="auto"/>
              <w:right w:val="single" w:sz="4" w:space="0" w:color="auto"/>
            </w:tcBorders>
            <w:noWrap w:val="0"/>
            <w:vAlign w:val="center"/>
          </w:tcPr>
          <w:p>
            <w:pPr>
              <w:widowControl/>
              <w:jc w:val="left"/>
              <w:rPr>
                <w:rFonts w:ascii="宋体" w:hAnsi="宋体" w:cs="宋体"/>
                <w:color w:val="000000"/>
                <w:spacing w:val="-12"/>
                <w:kern w:val="0"/>
                <w:sz w:val="18"/>
                <w:szCs w:val="18"/>
              </w:rPr>
            </w:pPr>
          </w:p>
        </w:tc>
        <w:tc>
          <w:tcPr>
            <w:tcW w:w="1369"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1000≤Y＜10000</w:t>
            </w:r>
          </w:p>
        </w:tc>
        <w:tc>
          <w:tcPr>
            <w:tcW w:w="1426"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50≤Y＜1000</w:t>
            </w:r>
          </w:p>
        </w:tc>
        <w:tc>
          <w:tcPr>
            <w:tcW w:w="992" w:type="dxa"/>
            <w:tcBorders>
              <w:top w:val="nil"/>
              <w:left w:val="nil"/>
              <w:bottom w:val="single" w:sz="4" w:space="0" w:color="auto"/>
              <w:right w:val="nil"/>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tblPrEx>
          <w:tblW w:w="0" w:type="auto"/>
          <w:jc w:val="center"/>
          <w:tblLayout w:type="fixed"/>
          <w:tblCellMar>
            <w:top w:w="0" w:type="dxa"/>
            <w:left w:w="108" w:type="dxa"/>
            <w:bottom w:w="0" w:type="dxa"/>
            <w:right w:w="108" w:type="dxa"/>
          </w:tblCellMar>
        </w:tblPrEx>
        <w:trPr>
          <w:trHeight w:hRule="exact" w:val="340"/>
          <w:jc w:val="center"/>
        </w:trPr>
        <w:tc>
          <w:tcPr>
            <w:tcW w:w="2113" w:type="dxa"/>
            <w:vMerge w:val="restart"/>
            <w:tcBorders>
              <w:top w:val="nil"/>
              <w:left w:val="nil"/>
              <w:bottom w:val="single" w:sz="4" w:space="0" w:color="auto"/>
              <w:right w:val="single" w:sz="4" w:space="0" w:color="auto"/>
            </w:tcBorders>
            <w:noWrap w:val="0"/>
            <w:vAlign w:val="center"/>
          </w:tcPr>
          <w:p>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房地产开发经营</w:t>
            </w:r>
          </w:p>
        </w:tc>
        <w:tc>
          <w:tcPr>
            <w:tcW w:w="1369"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Y≥200000</w:t>
            </w:r>
          </w:p>
        </w:tc>
        <w:tc>
          <w:tcPr>
            <w:tcW w:w="1701"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1000≤Y＜200000</w:t>
            </w:r>
          </w:p>
        </w:tc>
        <w:tc>
          <w:tcPr>
            <w:tcW w:w="1426"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nil"/>
              <w:right w:val="nil"/>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tblPrEx>
          <w:tblW w:w="0" w:type="auto"/>
          <w:jc w:val="center"/>
          <w:tblLayout w:type="fixed"/>
          <w:tblCellMar>
            <w:top w:w="0" w:type="dxa"/>
            <w:left w:w="108" w:type="dxa"/>
            <w:bottom w:w="0" w:type="dxa"/>
            <w:right w:w="108" w:type="dxa"/>
          </w:tblCellMar>
        </w:tblPrEx>
        <w:trPr>
          <w:trHeight w:hRule="exact" w:val="340"/>
          <w:jc w:val="center"/>
        </w:trPr>
        <w:tc>
          <w:tcPr>
            <w:tcW w:w="2113" w:type="dxa"/>
            <w:vMerge/>
            <w:tcBorders>
              <w:top w:val="nil"/>
              <w:left w:val="nil"/>
              <w:bottom w:val="single" w:sz="4" w:space="0" w:color="auto"/>
              <w:right w:val="single" w:sz="4" w:space="0" w:color="auto"/>
            </w:tcBorders>
            <w:noWrap w:val="0"/>
            <w:vAlign w:val="center"/>
          </w:tcPr>
          <w:p>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noWrap w:val="0"/>
            <w:vAlign w:val="center"/>
          </w:tcPr>
          <w:p>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Z≥10000</w:t>
            </w:r>
          </w:p>
        </w:tc>
        <w:tc>
          <w:tcPr>
            <w:tcW w:w="1701"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5000≤Z＜10000</w:t>
            </w:r>
          </w:p>
        </w:tc>
        <w:tc>
          <w:tcPr>
            <w:tcW w:w="1426"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2000≤Z＜5000   </w:t>
            </w:r>
          </w:p>
        </w:tc>
        <w:tc>
          <w:tcPr>
            <w:tcW w:w="992" w:type="dxa"/>
            <w:tcBorders>
              <w:top w:val="nil"/>
              <w:left w:val="nil"/>
              <w:bottom w:val="single" w:sz="4" w:space="0" w:color="auto"/>
              <w:right w:val="nil"/>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Z＜2000</w:t>
            </w:r>
          </w:p>
        </w:tc>
      </w:tr>
      <w:tr>
        <w:tblPrEx>
          <w:tblW w:w="0" w:type="auto"/>
          <w:jc w:val="center"/>
          <w:tblLayout w:type="fixed"/>
          <w:tblCellMar>
            <w:top w:w="0" w:type="dxa"/>
            <w:left w:w="108" w:type="dxa"/>
            <w:bottom w:w="0" w:type="dxa"/>
            <w:right w:w="108" w:type="dxa"/>
          </w:tblCellMar>
        </w:tblPrEx>
        <w:trPr>
          <w:trHeight w:hRule="exact" w:val="340"/>
          <w:jc w:val="center"/>
        </w:trPr>
        <w:tc>
          <w:tcPr>
            <w:tcW w:w="2113" w:type="dxa"/>
            <w:vMerge w:val="restart"/>
            <w:tcBorders>
              <w:top w:val="nil"/>
              <w:left w:val="nil"/>
              <w:bottom w:val="single" w:sz="4" w:space="0" w:color="auto"/>
              <w:right w:val="single" w:sz="4" w:space="0" w:color="auto"/>
            </w:tcBorders>
            <w:noWrap w:val="0"/>
            <w:vAlign w:val="center"/>
          </w:tcPr>
          <w:p>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物业管理</w:t>
            </w:r>
          </w:p>
        </w:tc>
        <w:tc>
          <w:tcPr>
            <w:tcW w:w="1369"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992" w:type="dxa"/>
            <w:tcBorders>
              <w:top w:val="nil"/>
              <w:left w:val="nil"/>
              <w:bottom w:val="nil"/>
              <w:right w:val="nil"/>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X＜100</w:t>
            </w:r>
          </w:p>
        </w:tc>
      </w:tr>
      <w:tr>
        <w:tblPrEx>
          <w:tblW w:w="0" w:type="auto"/>
          <w:jc w:val="center"/>
          <w:tblLayout w:type="fixed"/>
          <w:tblCellMar>
            <w:top w:w="0" w:type="dxa"/>
            <w:left w:w="108" w:type="dxa"/>
            <w:bottom w:w="0" w:type="dxa"/>
            <w:right w:w="108" w:type="dxa"/>
          </w:tblCellMar>
        </w:tblPrEx>
        <w:trPr>
          <w:trHeight w:hRule="exact" w:val="340"/>
          <w:jc w:val="center"/>
        </w:trPr>
        <w:tc>
          <w:tcPr>
            <w:tcW w:w="2113" w:type="dxa"/>
            <w:vMerge/>
            <w:tcBorders>
              <w:top w:val="nil"/>
              <w:left w:val="nil"/>
              <w:bottom w:val="single" w:sz="4" w:space="0" w:color="auto"/>
              <w:right w:val="single" w:sz="4" w:space="0" w:color="auto"/>
            </w:tcBorders>
            <w:noWrap w:val="0"/>
            <w:vAlign w:val="center"/>
          </w:tcPr>
          <w:p>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noWrap w:val="0"/>
            <w:vAlign w:val="center"/>
          </w:tcPr>
          <w:p>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Y≥5000</w:t>
            </w:r>
          </w:p>
        </w:tc>
        <w:tc>
          <w:tcPr>
            <w:tcW w:w="1701" w:type="dxa"/>
            <w:tcBorders>
              <w:top w:val="nil"/>
              <w:left w:val="nil"/>
              <w:bottom w:val="single" w:sz="4" w:space="0" w:color="auto"/>
              <w:right w:val="single" w:sz="4" w:space="0" w:color="auto"/>
            </w:tcBorders>
            <w:noWrap w:val="0"/>
            <w:vAlign w:val="center"/>
          </w:tcPr>
          <w:p>
            <w:pPr>
              <w:widowControl/>
              <w:ind w:left="19" w:hanging="126" w:leftChars="-51" w:hangingChars="60"/>
              <w:jc w:val="center"/>
              <w:rPr>
                <w:rFonts w:ascii="宋体" w:hAnsi="宋体" w:cs="宋体"/>
                <w:color w:val="000000"/>
                <w:kern w:val="0"/>
                <w:sz w:val="18"/>
                <w:szCs w:val="18"/>
              </w:rPr>
            </w:pPr>
            <w:r>
              <w:rPr>
                <w:rFonts w:ascii="宋体" w:hAnsi="宋体" w:cs="宋体" w:hint="eastAsia"/>
                <w:color w:val="000000"/>
                <w:kern w:val="0"/>
                <w:sz w:val="18"/>
                <w:szCs w:val="18"/>
              </w:rPr>
              <w:t xml:space="preserve">1000≤Y＜5000 </w:t>
            </w:r>
          </w:p>
        </w:tc>
        <w:tc>
          <w:tcPr>
            <w:tcW w:w="1426"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500≤Y＜1000</w:t>
            </w:r>
          </w:p>
        </w:tc>
        <w:tc>
          <w:tcPr>
            <w:tcW w:w="992" w:type="dxa"/>
            <w:tcBorders>
              <w:top w:val="nil"/>
              <w:left w:val="nil"/>
              <w:bottom w:val="single" w:sz="4" w:space="0" w:color="auto"/>
              <w:right w:val="nil"/>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Y＜500</w:t>
            </w:r>
          </w:p>
        </w:tc>
      </w:tr>
      <w:tr>
        <w:tblPrEx>
          <w:tblW w:w="0" w:type="auto"/>
          <w:jc w:val="center"/>
          <w:tblLayout w:type="fixed"/>
          <w:tblCellMar>
            <w:top w:w="0" w:type="dxa"/>
            <w:left w:w="108" w:type="dxa"/>
            <w:bottom w:w="0" w:type="dxa"/>
            <w:right w:w="108" w:type="dxa"/>
          </w:tblCellMar>
        </w:tblPrEx>
        <w:trPr>
          <w:trHeight w:hRule="exact" w:val="340"/>
          <w:jc w:val="center"/>
        </w:trPr>
        <w:tc>
          <w:tcPr>
            <w:tcW w:w="2113" w:type="dxa"/>
            <w:vMerge w:val="restart"/>
            <w:tcBorders>
              <w:top w:val="nil"/>
              <w:left w:val="nil"/>
              <w:bottom w:val="single" w:sz="4" w:space="0" w:color="auto"/>
              <w:right w:val="single" w:sz="4" w:space="0" w:color="auto"/>
            </w:tcBorders>
            <w:noWrap w:val="0"/>
            <w:vAlign w:val="center"/>
          </w:tcPr>
          <w:p>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租赁和商务服务业</w:t>
            </w:r>
          </w:p>
        </w:tc>
        <w:tc>
          <w:tcPr>
            <w:tcW w:w="1369"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noWrap w:val="0"/>
            <w:vAlign w:val="center"/>
          </w:tcPr>
          <w:p>
            <w:pPr>
              <w:widowControl/>
              <w:ind w:left="19" w:hanging="126" w:leftChars="-51" w:hangingChars="60"/>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tblPrEx>
          <w:tblW w:w="0" w:type="auto"/>
          <w:jc w:val="center"/>
          <w:tblLayout w:type="fixed"/>
          <w:tblCellMar>
            <w:top w:w="0" w:type="dxa"/>
            <w:left w:w="108" w:type="dxa"/>
            <w:bottom w:w="0" w:type="dxa"/>
            <w:right w:w="108" w:type="dxa"/>
          </w:tblCellMar>
        </w:tblPrEx>
        <w:trPr>
          <w:trHeight w:hRule="exact" w:val="340"/>
          <w:jc w:val="center"/>
        </w:trPr>
        <w:tc>
          <w:tcPr>
            <w:tcW w:w="2113" w:type="dxa"/>
            <w:vMerge/>
            <w:tcBorders>
              <w:top w:val="nil"/>
              <w:left w:val="nil"/>
              <w:bottom w:val="single" w:sz="4" w:space="0" w:color="auto"/>
              <w:right w:val="single" w:sz="4" w:space="0" w:color="auto"/>
            </w:tcBorders>
            <w:noWrap w:val="0"/>
            <w:vAlign w:val="center"/>
          </w:tcPr>
          <w:p>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noWrap w:val="0"/>
            <w:vAlign w:val="center"/>
          </w:tcPr>
          <w:p>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Z≥120000</w:t>
            </w:r>
          </w:p>
        </w:tc>
        <w:tc>
          <w:tcPr>
            <w:tcW w:w="1701"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8000≤Z＜120000</w:t>
            </w:r>
          </w:p>
        </w:tc>
        <w:tc>
          <w:tcPr>
            <w:tcW w:w="1426"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100≤Z＜8000</w:t>
            </w:r>
          </w:p>
        </w:tc>
        <w:tc>
          <w:tcPr>
            <w:tcW w:w="992" w:type="dxa"/>
            <w:tcBorders>
              <w:top w:val="nil"/>
              <w:left w:val="nil"/>
              <w:bottom w:val="single" w:sz="4" w:space="0" w:color="auto"/>
              <w:right w:val="nil"/>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Z＜100</w:t>
            </w:r>
          </w:p>
        </w:tc>
      </w:tr>
      <w:tr>
        <w:tblPrEx>
          <w:tblW w:w="0" w:type="auto"/>
          <w:jc w:val="center"/>
          <w:tblLayout w:type="fixed"/>
          <w:tblCellMar>
            <w:top w:w="0" w:type="dxa"/>
            <w:left w:w="108" w:type="dxa"/>
            <w:bottom w:w="0" w:type="dxa"/>
            <w:right w:w="108" w:type="dxa"/>
          </w:tblCellMar>
        </w:tblPrEx>
        <w:trPr>
          <w:trHeight w:hRule="exact" w:val="397"/>
          <w:jc w:val="center"/>
        </w:trPr>
        <w:tc>
          <w:tcPr>
            <w:tcW w:w="2113" w:type="dxa"/>
            <w:tcBorders>
              <w:top w:val="nil"/>
              <w:left w:val="nil"/>
              <w:bottom w:val="single" w:sz="4" w:space="0" w:color="auto"/>
              <w:right w:val="single" w:sz="4" w:space="0" w:color="auto"/>
            </w:tcBorders>
            <w:noWrap w:val="0"/>
            <w:vAlign w:val="center"/>
          </w:tcPr>
          <w:p>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其他未列明行业 *</w:t>
            </w:r>
          </w:p>
        </w:tc>
        <w:tc>
          <w:tcPr>
            <w:tcW w:w="1369"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single" w:sz="4" w:space="0" w:color="auto"/>
              <w:right w:val="single" w:sz="4" w:space="0" w:color="auto"/>
            </w:tcBorders>
            <w:noWrap w:val="0"/>
            <w:vAlign w:val="center"/>
          </w:tcPr>
          <w:p>
            <w:pPr>
              <w:widowControl/>
              <w:ind w:left="19" w:hanging="126" w:leftChars="-51" w:hangingChars="60"/>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single" w:sz="4" w:space="0" w:color="auto"/>
              <w:right w:val="single" w:sz="4" w:space="0" w:color="auto"/>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single" w:sz="4" w:space="0" w:color="auto"/>
              <w:right w:val="nil"/>
            </w:tcBorders>
            <w:noWrap w:val="0"/>
            <w:vAlign w:val="center"/>
          </w:tcPr>
          <w:p>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bl>
    <w:p>
      <w:pPr>
        <w:widowControl/>
        <w:spacing w:line="360" w:lineRule="auto"/>
        <w:jc w:val="left"/>
        <w:rPr>
          <w:rFonts w:ascii="宋体" w:eastAsia="宋体" w:hAnsi="宋体" w:cs="宋体"/>
          <w:kern w:val="0"/>
          <w:szCs w:val="21"/>
        </w:rPr>
      </w:pPr>
      <w:r>
        <w:rPr>
          <w:rFonts w:ascii="宋体" w:eastAsia="宋体" w:hAnsi="宋体" w:cs="宋体"/>
          <w:kern w:val="0"/>
          <w:szCs w:val="21"/>
        </w:rPr>
        <w:t>说明：</w:t>
      </w:r>
    </w:p>
    <w:p>
      <w:pPr>
        <w:widowControl/>
        <w:spacing w:line="360" w:lineRule="auto"/>
        <w:ind w:firstLine="372" w:firstLineChars="177"/>
        <w:jc w:val="left"/>
        <w:rPr>
          <w:rFonts w:ascii="宋体" w:eastAsia="宋体" w:hAnsi="宋体" w:cs="宋体"/>
          <w:kern w:val="0"/>
          <w:szCs w:val="21"/>
        </w:rPr>
      </w:pPr>
      <w:r>
        <w:rPr>
          <w:rFonts w:ascii="宋体" w:eastAsia="宋体" w:hAnsi="宋体" w:cs="宋体"/>
          <w:kern w:val="0"/>
          <w:szCs w:val="21"/>
        </w:rPr>
        <w:t>1.大型、中型和小型企业须同时满足所列指标的下限，否则下划一档；微型企业只须满足所列指标中的一项即可。</w:t>
      </w:r>
    </w:p>
    <w:p>
      <w:pPr>
        <w:widowControl/>
        <w:spacing w:line="360" w:lineRule="auto"/>
        <w:ind w:firstLine="372" w:firstLineChars="177"/>
        <w:jc w:val="left"/>
        <w:rPr>
          <w:rFonts w:ascii="宋体" w:eastAsia="宋体" w:hAnsi="宋体" w:cs="宋体"/>
          <w:kern w:val="0"/>
          <w:szCs w:val="21"/>
        </w:rPr>
      </w:pPr>
      <w:r>
        <w:rPr>
          <w:rFonts w:ascii="宋体" w:eastAsia="宋体" w:hAnsi="宋体" w:cs="宋体"/>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pacing w:line="360" w:lineRule="auto"/>
        <w:ind w:firstLine="372" w:firstLineChars="177"/>
        <w:jc w:val="left"/>
        <w:rPr>
          <w:rFonts w:ascii="宋体" w:eastAsia="宋体" w:hAnsi="宋体" w:cs="宋体"/>
          <w:kern w:val="0"/>
          <w:szCs w:val="21"/>
        </w:rPr>
      </w:pPr>
      <w:r>
        <w:rPr>
          <w:rFonts w:ascii="宋体" w:eastAsia="宋体" w:hAnsi="宋体" w:cs="宋体"/>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spacing w:line="360" w:lineRule="auto"/>
        <w:rPr>
          <w:rFonts w:ascii="宋体" w:eastAsia="宋体" w:hAnsi="宋体"/>
          <w:szCs w:val="21"/>
        </w:rPr>
      </w:pPr>
    </w:p>
    <w:p>
      <w:pPr>
        <w:pStyle w:val="Heading3"/>
        <w:spacing w:before="0" w:after="0"/>
        <w:jc w:val="center"/>
      </w:pPr>
      <w:bookmarkStart w:id="25" w:name="_Toc73610165"/>
      <w:bookmarkStart w:id="26" w:name="_Toc73613647"/>
      <w:r>
        <w:rPr>
          <w:rFonts w:hint="eastAsia"/>
        </w:rPr>
        <w:t>四、</w:t>
      </w:r>
      <w:r>
        <w:t>财政部 民政部 中国残疾人联合会关于促进残疾人就业 政府采购政策的通知</w:t>
      </w:r>
      <w:bookmarkEnd w:id="25"/>
      <w:bookmarkEnd w:id="26"/>
      <w:r>
        <w:t xml:space="preserve"> </w:t>
      </w:r>
    </w:p>
    <w:p>
      <w:pPr>
        <w:pStyle w:val="NormalWeb"/>
        <w:shd w:val="clear" w:color="auto" w:fill="FFFFFF"/>
        <w:spacing w:line="360" w:lineRule="auto"/>
        <w:jc w:val="center"/>
        <w:rPr>
          <w:rFonts w:ascii="宋体" w:eastAsia="宋体" w:hAnsi="宋体"/>
          <w:color w:val="000000"/>
          <w:sz w:val="21"/>
          <w:szCs w:val="21"/>
        </w:rPr>
      </w:pPr>
      <w:r>
        <w:rPr>
          <w:rFonts w:ascii="宋体" w:eastAsia="宋体" w:hAnsi="宋体"/>
          <w:color w:val="000000"/>
          <w:sz w:val="21"/>
          <w:szCs w:val="21"/>
        </w:rPr>
        <w:t>财库〔2017〕141号</w:t>
      </w:r>
    </w:p>
    <w:p>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pPr>
        <w:widowControl/>
        <w:spacing w:line="360" w:lineRule="auto"/>
        <w:jc w:val="left"/>
        <w:rPr>
          <w:rFonts w:ascii="宋体" w:eastAsia="宋体" w:hAnsi="宋体" w:cs="宋体"/>
          <w:kern w:val="0"/>
          <w:szCs w:val="21"/>
        </w:rPr>
      </w:pPr>
      <w:r>
        <w:rPr>
          <w:rFonts w:ascii="宋体" w:eastAsia="宋体" w:hAnsi="宋体" w:cs="宋体" w:hint="eastAsia"/>
          <w:kern w:val="0"/>
          <w:szCs w:val="21"/>
        </w:rPr>
        <w:t>　　为了发挥政府采购促进残疾人就业的作用，进一步保障残疾人权益，依照《政府采购法》、《残疾人保障法》等法律法规及相关规定，现就促进残疾人就业政府采购政策通知如下：</w:t>
      </w:r>
    </w:p>
    <w:p>
      <w:pPr>
        <w:widowControl/>
        <w:spacing w:line="360" w:lineRule="auto"/>
        <w:jc w:val="left"/>
        <w:rPr>
          <w:rFonts w:ascii="宋体" w:eastAsia="宋体" w:hAnsi="宋体" w:cs="宋体"/>
          <w:kern w:val="0"/>
          <w:szCs w:val="21"/>
        </w:rPr>
      </w:pPr>
      <w:r>
        <w:rPr>
          <w:rFonts w:ascii="宋体" w:eastAsia="宋体" w:hAnsi="宋体" w:cs="宋体" w:hint="eastAsia"/>
          <w:kern w:val="0"/>
          <w:szCs w:val="21"/>
        </w:rPr>
        <w:t>　　一、享受政府采购支持政策的残疾人福利性单位应当同时满足以下条件：</w:t>
      </w:r>
    </w:p>
    <w:p>
      <w:pPr>
        <w:widowControl/>
        <w:spacing w:line="360" w:lineRule="auto"/>
        <w:jc w:val="left"/>
        <w:rPr>
          <w:rFonts w:ascii="宋体" w:eastAsia="宋体" w:hAnsi="宋体" w:cs="宋体"/>
          <w:kern w:val="0"/>
          <w:szCs w:val="21"/>
        </w:rPr>
      </w:pPr>
      <w:r>
        <w:rPr>
          <w:rFonts w:ascii="宋体" w:eastAsia="宋体" w:hAnsi="宋体" w:cs="宋体" w:hint="eastAsia"/>
          <w:kern w:val="0"/>
          <w:szCs w:val="21"/>
        </w:rPr>
        <w:t>　　（一）安置的残疾人占本单位在职职工人数的比例不低于25%（含25%），并且安置的残疾人人数不少于10人（含10人）；</w:t>
      </w:r>
    </w:p>
    <w:p>
      <w:pPr>
        <w:widowControl/>
        <w:spacing w:line="360" w:lineRule="auto"/>
        <w:jc w:val="left"/>
        <w:rPr>
          <w:rFonts w:ascii="宋体" w:eastAsia="宋体" w:hAnsi="宋体" w:cs="宋体"/>
          <w:kern w:val="0"/>
          <w:szCs w:val="21"/>
        </w:rPr>
      </w:pPr>
      <w:r>
        <w:rPr>
          <w:rFonts w:ascii="宋体" w:eastAsia="宋体" w:hAnsi="宋体" w:cs="宋体" w:hint="eastAsia"/>
          <w:kern w:val="0"/>
          <w:szCs w:val="21"/>
        </w:rPr>
        <w:t>　　（二）依法与安置的每位残疾人签订了一年以上（含一年）的劳动合同或服务协议；</w:t>
      </w:r>
    </w:p>
    <w:p>
      <w:pPr>
        <w:widowControl/>
        <w:spacing w:line="360" w:lineRule="auto"/>
        <w:jc w:val="left"/>
        <w:rPr>
          <w:rFonts w:ascii="宋体" w:eastAsia="宋体" w:hAnsi="宋体" w:cs="宋体"/>
          <w:kern w:val="0"/>
          <w:szCs w:val="21"/>
        </w:rPr>
      </w:pPr>
      <w:r>
        <w:rPr>
          <w:rFonts w:ascii="宋体" w:eastAsia="宋体" w:hAnsi="宋体" w:cs="宋体" w:hint="eastAsia"/>
          <w:kern w:val="0"/>
          <w:szCs w:val="21"/>
        </w:rPr>
        <w:t>　　（三）为安置的每位残疾人按月足额缴纳了基本养老保险、基本医疗保险、失业保险、工伤保险和生育保险等社会保险费；</w:t>
      </w:r>
    </w:p>
    <w:p>
      <w:pPr>
        <w:widowControl/>
        <w:spacing w:line="360" w:lineRule="auto"/>
        <w:jc w:val="left"/>
        <w:rPr>
          <w:rFonts w:ascii="宋体" w:eastAsia="宋体" w:hAnsi="宋体" w:cs="宋体"/>
          <w:kern w:val="0"/>
          <w:szCs w:val="21"/>
        </w:rPr>
      </w:pPr>
      <w:r>
        <w:rPr>
          <w:rFonts w:ascii="宋体" w:eastAsia="宋体" w:hAnsi="宋体" w:cs="宋体" w:hint="eastAsia"/>
          <w:kern w:val="0"/>
          <w:szCs w:val="21"/>
        </w:rPr>
        <w:t>　　（四）通过银行等金融机构向安置的每位残疾人，按月支付了不低于单位所在区县适用的经省级人民政府批准的月最低工资标准的工资；</w:t>
      </w:r>
    </w:p>
    <w:p>
      <w:pPr>
        <w:widowControl/>
        <w:spacing w:line="360" w:lineRule="auto"/>
        <w:jc w:val="left"/>
        <w:rPr>
          <w:rFonts w:ascii="宋体" w:eastAsia="宋体" w:hAnsi="宋体" w:cs="宋体"/>
          <w:kern w:val="0"/>
          <w:szCs w:val="21"/>
        </w:rPr>
      </w:pPr>
      <w:r>
        <w:rPr>
          <w:rFonts w:ascii="宋体" w:eastAsia="宋体" w:hAnsi="宋体" w:cs="宋体" w:hint="eastAsia"/>
          <w:kern w:val="0"/>
          <w:szCs w:val="21"/>
        </w:rPr>
        <w:t>　　（五）提供本单位制造的货物、承担的工程或者服务（以下简称产品），或者提供其他残疾人福利性单位制造的货物（不包括使用非残疾人福利性单位注册商标的货物）。</w:t>
      </w:r>
    </w:p>
    <w:p>
      <w:pPr>
        <w:widowControl/>
        <w:spacing w:line="360" w:lineRule="auto"/>
        <w:jc w:val="left"/>
        <w:rPr>
          <w:rFonts w:ascii="宋体" w:eastAsia="宋体" w:hAnsi="宋体" w:cs="宋体"/>
          <w:kern w:val="0"/>
          <w:szCs w:val="21"/>
        </w:rPr>
      </w:pPr>
      <w:r>
        <w:rPr>
          <w:rFonts w:ascii="宋体" w:eastAsia="宋体" w:hAnsi="宋体" w:cs="宋体" w:hint="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widowControl/>
        <w:spacing w:line="360" w:lineRule="auto"/>
        <w:jc w:val="left"/>
        <w:rPr>
          <w:rFonts w:ascii="宋体" w:eastAsia="宋体" w:hAnsi="宋体" w:cs="宋体"/>
          <w:kern w:val="0"/>
          <w:szCs w:val="21"/>
        </w:rPr>
      </w:pPr>
      <w:r>
        <w:rPr>
          <w:rFonts w:ascii="宋体" w:eastAsia="宋体" w:hAnsi="宋体" w:cs="宋体" w:hint="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widowControl/>
        <w:spacing w:line="360" w:lineRule="auto"/>
        <w:jc w:val="left"/>
        <w:rPr>
          <w:rFonts w:ascii="宋体" w:eastAsia="宋体" w:hAnsi="宋体" w:cs="宋体"/>
          <w:kern w:val="0"/>
          <w:szCs w:val="21"/>
        </w:rPr>
      </w:pPr>
      <w:r>
        <w:rPr>
          <w:rFonts w:ascii="宋体" w:eastAsia="宋体" w:hAnsi="宋体" w:cs="宋体" w:hint="eastAsia"/>
          <w:kern w:val="0"/>
          <w:szCs w:val="21"/>
        </w:rPr>
        <w:t>　　中标、成交供应商为残疾人福利性单位的，采购人或者其委托的采购代理机构应当随中标、成交结果同时公告其《残疾人福利性单位声明函》，接受社会监督。</w:t>
      </w:r>
    </w:p>
    <w:p>
      <w:pPr>
        <w:widowControl/>
        <w:spacing w:line="360" w:lineRule="auto"/>
        <w:jc w:val="left"/>
        <w:rPr>
          <w:rFonts w:ascii="宋体" w:eastAsia="宋体" w:hAnsi="宋体" w:cs="宋体"/>
          <w:kern w:val="0"/>
          <w:szCs w:val="21"/>
        </w:rPr>
      </w:pPr>
      <w:r>
        <w:rPr>
          <w:rFonts w:ascii="宋体" w:eastAsia="宋体" w:hAnsi="宋体" w:cs="宋体" w:hint="eastAsia"/>
          <w:kern w:val="0"/>
          <w:szCs w:val="21"/>
        </w:rPr>
        <w:t>　　供应商提供的《残疾人福利性单位声明函》与事实不符的，依照《政府采购法》第七十七条第一款的规定追究法律责任。</w:t>
      </w:r>
    </w:p>
    <w:p>
      <w:pPr>
        <w:widowControl/>
        <w:spacing w:line="360" w:lineRule="auto"/>
        <w:jc w:val="left"/>
        <w:rPr>
          <w:rFonts w:ascii="宋体" w:eastAsia="宋体" w:hAnsi="宋体" w:cs="宋体"/>
          <w:kern w:val="0"/>
          <w:szCs w:val="21"/>
        </w:rPr>
      </w:pPr>
      <w:r>
        <w:rPr>
          <w:rFonts w:ascii="宋体" w:eastAsia="宋体" w:hAnsi="宋体" w:cs="宋体" w:hint="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widowControl/>
        <w:spacing w:line="360" w:lineRule="auto"/>
        <w:jc w:val="left"/>
        <w:rPr>
          <w:rFonts w:ascii="宋体" w:eastAsia="宋体" w:hAnsi="宋体" w:cs="宋体"/>
          <w:kern w:val="0"/>
          <w:szCs w:val="21"/>
        </w:rPr>
      </w:pPr>
      <w:r>
        <w:rPr>
          <w:rFonts w:ascii="宋体" w:eastAsia="宋体" w:hAnsi="宋体" w:cs="宋体" w:hint="eastAsia"/>
          <w:kern w:val="0"/>
          <w:szCs w:val="21"/>
        </w:rPr>
        <w:t>　　四、采购人采购公开招标数额标准以上的货物或者服务，因落实促进残疾人就业政策的需要，依法履行有关报批程序后，可采用公开招标以外的采购方式。</w:t>
      </w:r>
    </w:p>
    <w:p>
      <w:pPr>
        <w:widowControl/>
        <w:spacing w:line="360" w:lineRule="auto"/>
        <w:jc w:val="left"/>
        <w:rPr>
          <w:rFonts w:ascii="宋体" w:eastAsia="宋体" w:hAnsi="宋体" w:cs="宋体"/>
          <w:kern w:val="0"/>
          <w:szCs w:val="21"/>
        </w:rPr>
      </w:pPr>
      <w:r>
        <w:rPr>
          <w:rFonts w:ascii="宋体" w:eastAsia="宋体" w:hAnsi="宋体" w:cs="宋体" w:hint="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widowControl/>
        <w:spacing w:line="360" w:lineRule="auto"/>
        <w:jc w:val="left"/>
        <w:rPr>
          <w:rFonts w:ascii="宋体" w:eastAsia="宋体" w:hAnsi="宋体" w:cs="宋体"/>
          <w:kern w:val="0"/>
          <w:szCs w:val="21"/>
        </w:rPr>
      </w:pPr>
      <w:r>
        <w:rPr>
          <w:rFonts w:ascii="宋体" w:eastAsia="宋体" w:hAnsi="宋体" w:cs="宋体" w:hint="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widowControl/>
        <w:spacing w:line="360" w:lineRule="auto"/>
        <w:jc w:val="left"/>
        <w:rPr>
          <w:rFonts w:ascii="宋体" w:eastAsia="宋体" w:hAnsi="宋体" w:cs="宋体"/>
          <w:kern w:val="0"/>
          <w:szCs w:val="21"/>
        </w:rPr>
      </w:pPr>
      <w:r>
        <w:rPr>
          <w:rFonts w:ascii="宋体" w:eastAsia="宋体" w:hAnsi="宋体" w:cs="宋体" w:hint="eastAsia"/>
          <w:kern w:val="0"/>
          <w:szCs w:val="21"/>
        </w:rPr>
        <w:t>　　七、本通知自2017年10月1日起执行。</w:t>
      </w:r>
    </w:p>
    <w:p>
      <w:pPr>
        <w:widowControl/>
        <w:spacing w:line="360" w:lineRule="auto"/>
        <w:jc w:val="left"/>
        <w:rPr>
          <w:rFonts w:ascii="宋体" w:eastAsia="宋体" w:hAnsi="宋体" w:cs="宋体"/>
          <w:kern w:val="0"/>
          <w:szCs w:val="21"/>
        </w:rPr>
      </w:pPr>
      <w:r>
        <w:rPr>
          <w:rFonts w:ascii="宋体" w:eastAsia="宋体" w:hAnsi="宋体" w:cs="宋体"/>
          <w:kern w:val="0"/>
          <w:szCs w:val="21"/>
        </w:rPr>
        <w:t>　　</w:t>
      </w:r>
    </w:p>
    <w:p>
      <w:pPr>
        <w:widowControl/>
        <w:spacing w:line="360" w:lineRule="auto"/>
        <w:jc w:val="right"/>
        <w:rPr>
          <w:rFonts w:ascii="宋体" w:eastAsia="宋体" w:hAnsi="宋体" w:cs="宋体"/>
          <w:kern w:val="0"/>
          <w:szCs w:val="21"/>
        </w:rPr>
      </w:pPr>
      <w:r>
        <w:rPr>
          <w:rFonts w:ascii="宋体" w:eastAsia="宋体" w:hAnsi="宋体" w:cs="宋体" w:hint="eastAsia"/>
          <w:kern w:val="0"/>
          <w:szCs w:val="21"/>
        </w:rPr>
        <w:t>财政部 民政部 中国残疾人联合会</w:t>
      </w:r>
    </w:p>
    <w:p>
      <w:pPr>
        <w:widowControl/>
        <w:spacing w:line="360" w:lineRule="auto"/>
        <w:jc w:val="right"/>
        <w:rPr>
          <w:rFonts w:ascii="宋体" w:eastAsia="宋体" w:hAnsi="宋体" w:cs="宋体"/>
          <w:kern w:val="0"/>
          <w:szCs w:val="21"/>
        </w:rPr>
      </w:pPr>
    </w:p>
    <w:p>
      <w:pPr>
        <w:widowControl/>
        <w:spacing w:line="360" w:lineRule="auto"/>
        <w:jc w:val="right"/>
        <w:rPr>
          <w:rFonts w:ascii="宋体" w:eastAsia="宋体" w:hAnsi="宋体" w:cs="宋体"/>
          <w:kern w:val="0"/>
          <w:szCs w:val="21"/>
        </w:rPr>
      </w:pPr>
      <w:r>
        <w:rPr>
          <w:rFonts w:ascii="宋体" w:eastAsia="宋体" w:hAnsi="宋体" w:cs="宋体" w:hint="eastAsia"/>
          <w:kern w:val="0"/>
          <w:szCs w:val="21"/>
        </w:rPr>
        <w:t>  2017年8月22日</w:t>
      </w:r>
    </w:p>
    <w:p>
      <w:pPr>
        <w:tabs>
          <w:tab w:val="left" w:pos="1875"/>
        </w:tabs>
      </w:pPr>
    </w:p>
    <w:p/>
    <w:p>
      <w:pPr>
        <w:pStyle w:val="Heading3"/>
        <w:spacing w:before="0" w:after="0"/>
        <w:jc w:val="center"/>
      </w:pPr>
      <w:r>
        <w:rPr>
          <w:rFonts w:hint="eastAsia"/>
        </w:rPr>
        <w:t>五、财政部 司法部关于政府采购支持监狱企业发展有关问题的通知</w:t>
      </w:r>
      <w:r>
        <w:t xml:space="preserve"> </w:t>
      </w:r>
    </w:p>
    <w:p>
      <w:pPr>
        <w:widowControl/>
        <w:spacing w:line="360" w:lineRule="auto"/>
        <w:jc w:val="center"/>
        <w:rPr>
          <w:rFonts w:ascii="宋体" w:eastAsia="宋体" w:hAnsi="宋体" w:cs="宋体"/>
          <w:kern w:val="0"/>
          <w:szCs w:val="21"/>
        </w:rPr>
      </w:pPr>
    </w:p>
    <w:p>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财库〔2014〕68号</w:t>
      </w:r>
    </w:p>
    <w:p>
      <w:pPr>
        <w:widowControl/>
        <w:spacing w:line="360" w:lineRule="auto"/>
        <w:jc w:val="left"/>
        <w:rPr>
          <w:rFonts w:ascii="宋体" w:eastAsia="宋体" w:hAnsi="宋体" w:cs="宋体"/>
          <w:kern w:val="0"/>
          <w:szCs w:val="21"/>
        </w:rPr>
      </w:pPr>
    </w:p>
    <w:p>
      <w:pPr>
        <w:widowControl/>
        <w:spacing w:line="360" w:lineRule="auto"/>
        <w:ind w:firstLine="424" w:firstLineChars="202"/>
        <w:jc w:val="left"/>
        <w:rPr>
          <w:rFonts w:ascii="宋体" w:eastAsia="宋体" w:hAnsi="宋体" w:cs="宋体"/>
          <w:kern w:val="0"/>
          <w:szCs w:val="21"/>
        </w:rPr>
      </w:pPr>
      <w:r>
        <w:rPr>
          <w:rFonts w:ascii="宋体" w:eastAsia="宋体" w:hAnsi="宋体" w:cs="宋体" w:hint="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pPr>
        <w:widowControl/>
        <w:spacing w:line="360" w:lineRule="auto"/>
        <w:ind w:firstLine="424" w:firstLineChars="202"/>
        <w:jc w:val="left"/>
        <w:rPr>
          <w:rFonts w:ascii="宋体" w:eastAsia="宋体" w:hAnsi="宋体" w:cs="宋体"/>
          <w:kern w:val="0"/>
          <w:szCs w:val="21"/>
        </w:rPr>
      </w:pPr>
      <w:r>
        <w:rPr>
          <w:rFonts w:ascii="宋体" w:eastAsia="宋体" w:hAnsi="宋体" w:cs="宋体" w:hint="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ascii="宋体" w:eastAsia="宋体" w:hAnsi="宋体" w:cs="宋体"/>
          <w:kern w:val="0"/>
          <w:szCs w:val="21"/>
        </w:rPr>
        <w:t>[2003]7</w:t>
      </w:r>
      <w:r>
        <w:rPr>
          <w:rFonts w:ascii="宋体" w:eastAsia="宋体" w:hAnsi="宋体" w:cs="宋体" w:hint="eastAsia"/>
          <w:kern w:val="0"/>
          <w:szCs w:val="21"/>
        </w:rPr>
        <w:t>号）文件精神，发挥政府采购支持监狱企业发展的作用，现就有关事项通知如下：</w:t>
      </w:r>
    </w:p>
    <w:p>
      <w:pPr>
        <w:widowControl/>
        <w:spacing w:line="360" w:lineRule="auto"/>
        <w:ind w:firstLine="424" w:firstLineChars="202"/>
        <w:jc w:val="left"/>
        <w:rPr>
          <w:rFonts w:ascii="宋体" w:eastAsia="宋体" w:hAnsi="宋体" w:cs="宋体"/>
          <w:kern w:val="0"/>
          <w:szCs w:val="21"/>
        </w:rPr>
      </w:pPr>
      <w:r>
        <w:rPr>
          <w:rFonts w:ascii="宋体" w:eastAsia="宋体" w:hAnsi="宋体" w:cs="宋体" w:hint="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widowControl/>
        <w:spacing w:line="360" w:lineRule="auto"/>
        <w:ind w:firstLine="424" w:firstLineChars="202"/>
        <w:jc w:val="left"/>
        <w:rPr>
          <w:rFonts w:ascii="宋体" w:eastAsia="宋体" w:hAnsi="宋体" w:cs="宋体"/>
          <w:kern w:val="0"/>
          <w:szCs w:val="21"/>
        </w:rPr>
      </w:pPr>
      <w:r>
        <w:rPr>
          <w:rFonts w:ascii="宋体" w:eastAsia="宋体" w:hAnsi="宋体" w:cs="宋体" w:hint="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pPr>
        <w:widowControl/>
        <w:spacing w:line="360" w:lineRule="auto"/>
        <w:ind w:firstLine="424" w:firstLineChars="202"/>
        <w:jc w:val="left"/>
        <w:rPr>
          <w:rFonts w:ascii="宋体" w:eastAsia="宋体" w:hAnsi="宋体" w:cs="宋体"/>
          <w:kern w:val="0"/>
          <w:szCs w:val="21"/>
        </w:rPr>
      </w:pPr>
      <w:r>
        <w:rPr>
          <w:rFonts w:ascii="宋体" w:eastAsia="宋体" w:hAnsi="宋体" w:cs="宋体" w:hint="eastAsia"/>
          <w:kern w:val="0"/>
          <w:szCs w:val="21"/>
        </w:rPr>
        <w:t>三、各地区、各部门要积极通过预留采购份额支持监狱企业。有制服采购项目的部门，应加强对政府采购预算和计划编制工作的统筹，预留本部门制服采购项目预算总额的</w:t>
      </w:r>
      <w:r>
        <w:rPr>
          <w:rFonts w:ascii="宋体" w:eastAsia="宋体" w:hAnsi="宋体" w:cs="宋体"/>
          <w:kern w:val="0"/>
          <w:szCs w:val="21"/>
        </w:rPr>
        <w:t>30%</w:t>
      </w:r>
      <w:r>
        <w:rPr>
          <w:rFonts w:ascii="宋体" w:eastAsia="宋体" w:hAnsi="宋体" w:cs="宋体" w:hint="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pPr>
        <w:widowControl/>
        <w:spacing w:line="360" w:lineRule="auto"/>
        <w:ind w:firstLine="424" w:firstLineChars="202"/>
        <w:jc w:val="left"/>
        <w:rPr>
          <w:rFonts w:ascii="宋体" w:eastAsia="宋体" w:hAnsi="宋体" w:cs="宋体"/>
          <w:kern w:val="0"/>
          <w:szCs w:val="21"/>
        </w:rPr>
      </w:pPr>
      <w:r>
        <w:rPr>
          <w:rFonts w:ascii="宋体" w:eastAsia="宋体" w:hAnsi="宋体" w:cs="宋体" w:hint="eastAsia"/>
          <w:kern w:val="0"/>
          <w:szCs w:val="21"/>
        </w:rPr>
        <w:t>四、各地区可以结合本地区实际，对监狱企业生产的办公用品、家具用具、车辆维修和提供的保养服务、消防设备等，提出预留份额等政府采购支持措施，加大对监狱企业产品的采购力度。</w:t>
      </w:r>
    </w:p>
    <w:p>
      <w:pPr>
        <w:widowControl/>
        <w:spacing w:line="360" w:lineRule="auto"/>
        <w:ind w:firstLine="424" w:firstLineChars="202"/>
        <w:jc w:val="left"/>
        <w:rPr>
          <w:rFonts w:ascii="宋体" w:eastAsia="宋体" w:hAnsi="宋体" w:cs="宋体"/>
          <w:kern w:val="0"/>
          <w:szCs w:val="21"/>
        </w:rPr>
      </w:pPr>
      <w:r>
        <w:rPr>
          <w:rFonts w:ascii="宋体" w:eastAsia="宋体" w:hAnsi="宋体" w:cs="宋体" w:hint="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pPr>
        <w:widowControl/>
        <w:spacing w:line="360" w:lineRule="auto"/>
        <w:jc w:val="left"/>
        <w:rPr>
          <w:rFonts w:ascii="宋体" w:eastAsia="宋体" w:hAnsi="宋体" w:cs="宋体"/>
          <w:kern w:val="0"/>
          <w:szCs w:val="21"/>
        </w:rPr>
      </w:pPr>
    </w:p>
    <w:p>
      <w:pPr>
        <w:widowControl/>
        <w:spacing w:line="360" w:lineRule="auto"/>
        <w:jc w:val="right"/>
        <w:rPr>
          <w:rFonts w:ascii="宋体" w:eastAsia="宋体" w:hAnsi="宋体" w:cs="宋体"/>
          <w:kern w:val="0"/>
          <w:szCs w:val="21"/>
        </w:rPr>
      </w:pPr>
      <w:r>
        <w:rPr>
          <w:rFonts w:ascii="宋体" w:eastAsia="宋体" w:hAnsi="宋体" w:cs="宋体" w:hint="eastAsia"/>
          <w:kern w:val="0"/>
          <w:szCs w:val="21"/>
        </w:rPr>
        <w:t>中华人民共和国财政部</w:t>
      </w:r>
    </w:p>
    <w:p>
      <w:pPr>
        <w:widowControl/>
        <w:spacing w:line="360" w:lineRule="auto"/>
        <w:jc w:val="right"/>
        <w:rPr>
          <w:rFonts w:ascii="宋体" w:eastAsia="宋体" w:hAnsi="宋体" w:cs="宋体"/>
          <w:kern w:val="0"/>
          <w:szCs w:val="21"/>
        </w:rPr>
      </w:pPr>
      <w:r>
        <w:rPr>
          <w:rFonts w:ascii="宋体" w:eastAsia="宋体" w:hAnsi="宋体" w:cs="宋体" w:hint="eastAsia"/>
          <w:kern w:val="0"/>
          <w:szCs w:val="21"/>
        </w:rPr>
        <w:t>中华人民共和国司法部</w:t>
      </w:r>
    </w:p>
    <w:p>
      <w:pPr>
        <w:widowControl/>
        <w:spacing w:line="360" w:lineRule="auto"/>
        <w:jc w:val="right"/>
        <w:rPr>
          <w:rFonts w:ascii="宋体" w:eastAsia="宋体" w:hAnsi="宋体" w:cs="宋体"/>
          <w:kern w:val="0"/>
          <w:szCs w:val="21"/>
        </w:rPr>
      </w:pPr>
      <w:r>
        <w:rPr>
          <w:rFonts w:ascii="宋体" w:eastAsia="宋体" w:hAnsi="宋体" w:cs="宋体" w:hint="eastAsia"/>
          <w:kern w:val="0"/>
          <w:szCs w:val="21"/>
        </w:rPr>
        <w:t>2014年6月10日</w:t>
      </w:r>
    </w:p>
    <w:p>
      <w:pPr>
        <w:widowControl/>
        <w:spacing w:line="360" w:lineRule="auto"/>
        <w:jc w:val="center"/>
        <w:rPr>
          <w:rFonts w:ascii="宋体" w:eastAsia="宋体" w:hAnsi="宋体"/>
          <w:b/>
          <w:sz w:val="32"/>
          <w:szCs w:val="32"/>
        </w:rPr>
      </w:pPr>
      <w:r>
        <w:rPr>
          <w:rFonts w:ascii="宋体" w:eastAsia="宋体" w:hAnsi="宋体" w:cs="宋体"/>
          <w:kern w:val="0"/>
          <w:szCs w:val="21"/>
        </w:rPr>
        <w:br w:type="page"/>
      </w:r>
      <w:r>
        <w:rPr>
          <w:rFonts w:ascii="宋体" w:eastAsia="宋体" w:hAnsi="宋体" w:hint="eastAsia"/>
          <w:b/>
          <w:sz w:val="32"/>
          <w:szCs w:val="32"/>
        </w:rPr>
        <w:t>第二册  通用条款（公开招标）</w:t>
      </w:r>
    </w:p>
    <w:p>
      <w:pPr>
        <w:keepNext/>
        <w:keepLines/>
        <w:widowControl/>
        <w:numPr>
          <w:ilvl w:val="0"/>
          <w:numId w:val="2"/>
        </w:numPr>
        <w:adjustRightInd w:val="0"/>
        <w:spacing w:before="156" w:beforeLines="50" w:after="156" w:afterLines="50" w:line="360" w:lineRule="auto"/>
        <w:ind w:left="562" w:hanging="562"/>
        <w:jc w:val="center"/>
        <w:textAlignment w:val="baseline"/>
        <w:outlineLvl w:val="1"/>
        <w:rPr>
          <w:rFonts w:ascii="宋体" w:eastAsia="宋体" w:hAnsi="宋体"/>
          <w:b/>
          <w:bCs/>
          <w:kern w:val="0"/>
          <w:sz w:val="28"/>
          <w:szCs w:val="28"/>
        </w:rPr>
      </w:pPr>
      <w:bookmarkStart w:id="27" w:name="_Hlk72399513"/>
      <w:r>
        <w:rPr>
          <w:rFonts w:ascii="宋体" w:eastAsia="宋体" w:hAnsi="宋体" w:hint="eastAsia"/>
          <w:b/>
          <w:bCs/>
          <w:kern w:val="0"/>
          <w:sz w:val="28"/>
          <w:szCs w:val="28"/>
        </w:rPr>
        <w:t>总则</w:t>
      </w:r>
    </w:p>
    <w:p>
      <w:pPr>
        <w:spacing w:line="360" w:lineRule="auto"/>
        <w:outlineLvl w:val="1"/>
        <w:rPr>
          <w:rFonts w:ascii="宋体" w:eastAsia="宋体" w:hAnsi="宋体"/>
          <w:b/>
          <w:bCs/>
          <w:szCs w:val="21"/>
        </w:rPr>
      </w:pPr>
      <w:bookmarkEnd w:id="27"/>
      <w:r>
        <w:rPr>
          <w:rFonts w:ascii="宋体" w:eastAsia="宋体" w:hAnsi="宋体" w:hint="eastAsia"/>
          <w:b/>
          <w:bCs/>
          <w:szCs w:val="21"/>
        </w:rPr>
        <w:t>1. 通用条款说明</w:t>
      </w:r>
    </w:p>
    <w:p>
      <w:pPr>
        <w:spacing w:line="360" w:lineRule="auto"/>
        <w:ind w:firstLine="412" w:firstLineChars="196"/>
        <w:rPr>
          <w:rFonts w:ascii="宋体" w:eastAsia="宋体" w:hAnsi="宋体"/>
          <w:szCs w:val="21"/>
        </w:rPr>
      </w:pPr>
      <w:r>
        <w:rPr>
          <w:rFonts w:ascii="宋体" w:eastAsia="宋体" w:hAnsi="宋体" w:hint="eastAsia"/>
          <w:szCs w:val="21"/>
        </w:rPr>
        <w:t>1.1采购代理机构发出招标文件通用条款版本，列出深圳市政府采购项目进行招标采购所适用的通用条款内容。</w:t>
      </w:r>
      <w:bookmarkStart w:id="28" w:name="_Hlk72399729"/>
      <w:r>
        <w:rPr>
          <w:rFonts w:ascii="宋体" w:eastAsia="宋体" w:hAnsi="宋体" w:hint="eastAsia"/>
          <w:szCs w:val="21"/>
        </w:rPr>
        <w:t>如有需要，采购代理机构可以对通用条款的内容进行补充。</w:t>
      </w:r>
      <w:bookmarkEnd w:id="28"/>
    </w:p>
    <w:p>
      <w:pPr>
        <w:spacing w:line="360" w:lineRule="auto"/>
        <w:ind w:firstLine="412" w:firstLineChars="196"/>
        <w:rPr>
          <w:rFonts w:ascii="宋体" w:eastAsia="宋体" w:hAnsi="宋体"/>
          <w:szCs w:val="21"/>
        </w:rPr>
      </w:pPr>
      <w:r>
        <w:rPr>
          <w:rFonts w:ascii="宋体" w:eastAsia="宋体" w:hAnsi="宋体" w:hint="eastAsia"/>
          <w:szCs w:val="21"/>
        </w:rPr>
        <w:t>1.2招标文件分为第一册“专用条款”和第二册“通用条款”。</w:t>
      </w:r>
    </w:p>
    <w:p>
      <w:pPr>
        <w:spacing w:line="360" w:lineRule="auto"/>
        <w:ind w:firstLine="412" w:firstLineChars="196"/>
        <w:rPr>
          <w:rFonts w:ascii="宋体" w:eastAsia="宋体" w:hAnsi="宋体"/>
          <w:szCs w:val="21"/>
        </w:rPr>
      </w:pPr>
      <w:r>
        <w:rPr>
          <w:rFonts w:ascii="宋体" w:eastAsia="宋体" w:hAnsi="宋体" w:hint="eastAsia"/>
          <w:szCs w:val="21"/>
        </w:rPr>
        <w:t>1.3“专用条款”是对本次采购项目的具体要求，包含招标公告、对通用条款的补充内容及其他关键信息、用户需求书、投标文件格式及附件、合同条款及格式等内容。</w:t>
      </w:r>
    </w:p>
    <w:p>
      <w:pPr>
        <w:spacing w:line="360" w:lineRule="auto"/>
        <w:ind w:firstLine="412" w:firstLineChars="196"/>
        <w:rPr>
          <w:rFonts w:ascii="宋体" w:eastAsia="宋体" w:hAnsi="宋体"/>
          <w:szCs w:val="21"/>
        </w:rPr>
      </w:pPr>
      <w:r>
        <w:rPr>
          <w:rFonts w:ascii="宋体" w:eastAsia="宋体" w:hAnsi="宋体" w:hint="eastAsia"/>
          <w:szCs w:val="21"/>
        </w:rPr>
        <w:t>1.4“通用条款”是适用于政府采购公开招标项目的基础性条款，具有普遍性和通用性。</w:t>
      </w:r>
    </w:p>
    <w:p>
      <w:pPr>
        <w:spacing w:line="360" w:lineRule="auto"/>
        <w:ind w:firstLine="412" w:firstLineChars="196"/>
        <w:rPr>
          <w:rFonts w:ascii="宋体" w:eastAsia="宋体" w:hAnsi="宋体"/>
          <w:szCs w:val="21"/>
        </w:rPr>
      </w:pPr>
      <w:r>
        <w:rPr>
          <w:rFonts w:ascii="宋体" w:eastAsia="宋体" w:hAnsi="宋体" w:hint="eastAsia"/>
          <w:szCs w:val="21"/>
        </w:rPr>
        <w:t>1.5 “专用条款”和“通用条款”表述不一致或有冲突时，以“专用条款”为准。</w:t>
      </w:r>
    </w:p>
    <w:p>
      <w:pPr>
        <w:spacing w:line="360" w:lineRule="auto"/>
        <w:outlineLvl w:val="1"/>
        <w:rPr>
          <w:rFonts w:ascii="宋体" w:eastAsia="宋体" w:hAnsi="宋体"/>
          <w:b/>
          <w:bCs/>
          <w:szCs w:val="21"/>
        </w:rPr>
      </w:pPr>
      <w:r>
        <w:rPr>
          <w:rFonts w:ascii="宋体" w:eastAsia="宋体" w:hAnsi="宋体" w:hint="eastAsia"/>
          <w:b/>
          <w:bCs/>
          <w:szCs w:val="21"/>
        </w:rPr>
        <w:t>2</w:t>
      </w:r>
      <w:r>
        <w:rPr>
          <w:rFonts w:ascii="宋体" w:eastAsia="宋体" w:hAnsi="宋体"/>
          <w:b/>
          <w:bCs/>
          <w:szCs w:val="21"/>
        </w:rPr>
        <w:t>．</w:t>
      </w:r>
      <w:r>
        <w:rPr>
          <w:rFonts w:ascii="宋体" w:eastAsia="宋体" w:hAnsi="宋体" w:hint="eastAsia"/>
          <w:b/>
          <w:bCs/>
          <w:szCs w:val="21"/>
        </w:rPr>
        <w:t>招标说明</w:t>
      </w:r>
    </w:p>
    <w:p>
      <w:pPr>
        <w:spacing w:line="360" w:lineRule="auto"/>
        <w:ind w:firstLine="412" w:firstLineChars="196"/>
        <w:rPr>
          <w:rFonts w:ascii="宋体" w:eastAsia="宋体" w:hAnsi="宋体"/>
          <w:szCs w:val="21"/>
        </w:rPr>
      </w:pPr>
      <w:r>
        <w:rPr>
          <w:rFonts w:ascii="宋体" w:eastAsia="宋体" w:hAnsi="宋体" w:hint="eastAsia"/>
          <w:szCs w:val="21"/>
        </w:rPr>
        <w:t>本项目按照《深圳经济特区政府采购条例》、《深圳经济特区政府采购条例实施细则》及政府采购其他法律法规，通过公开招标方式确定中标供应商。</w:t>
      </w:r>
    </w:p>
    <w:p>
      <w:pPr>
        <w:spacing w:line="360" w:lineRule="auto"/>
        <w:outlineLvl w:val="1"/>
        <w:rPr>
          <w:rFonts w:ascii="宋体" w:eastAsia="宋体" w:hAnsi="宋体"/>
          <w:b/>
          <w:bCs/>
          <w:szCs w:val="21"/>
        </w:rPr>
      </w:pPr>
      <w:r>
        <w:rPr>
          <w:rFonts w:ascii="宋体" w:eastAsia="宋体" w:hAnsi="宋体" w:hint="eastAsia"/>
          <w:b/>
          <w:bCs/>
          <w:szCs w:val="21"/>
        </w:rPr>
        <w:t>3．定义</w:t>
      </w:r>
    </w:p>
    <w:p>
      <w:pPr>
        <w:spacing w:line="360" w:lineRule="auto"/>
        <w:ind w:firstLine="420" w:firstLineChars="200"/>
        <w:rPr>
          <w:rFonts w:ascii="宋体" w:eastAsia="宋体" w:hAnsi="宋体"/>
          <w:szCs w:val="21"/>
        </w:rPr>
      </w:pPr>
      <w:r>
        <w:rPr>
          <w:rFonts w:ascii="宋体" w:eastAsia="宋体" w:hAnsi="宋体"/>
          <w:szCs w:val="21"/>
        </w:rPr>
        <w:t>招标文件中下列术语应解释为：</w:t>
      </w:r>
    </w:p>
    <w:p>
      <w:pPr>
        <w:spacing w:line="360" w:lineRule="auto"/>
        <w:ind w:firstLine="412" w:firstLineChars="196"/>
        <w:rPr>
          <w:rFonts w:ascii="宋体" w:eastAsia="宋体" w:hAnsi="宋体"/>
          <w:szCs w:val="21"/>
        </w:rPr>
      </w:pPr>
      <w:r>
        <w:rPr>
          <w:rFonts w:ascii="宋体" w:eastAsia="宋体" w:hAnsi="宋体" w:hint="eastAsia"/>
          <w:szCs w:val="21"/>
        </w:rPr>
        <w:t>3.</w:t>
      </w:r>
      <w:r>
        <w:rPr>
          <w:rFonts w:ascii="宋体" w:eastAsia="宋体" w:hAnsi="宋体"/>
          <w:szCs w:val="21"/>
        </w:rPr>
        <w:t>1</w:t>
      </w:r>
      <w:r>
        <w:rPr>
          <w:rFonts w:ascii="宋体" w:eastAsia="宋体" w:hAnsi="宋体" w:hint="eastAsia"/>
          <w:szCs w:val="21"/>
        </w:rPr>
        <w:t>“采购人”：指利用财政性资金依法进行政府采购的国家机关、事业单位、团体组织；</w:t>
      </w:r>
    </w:p>
    <w:p>
      <w:pPr>
        <w:spacing w:line="360" w:lineRule="auto"/>
        <w:ind w:firstLine="412" w:firstLineChars="196"/>
        <w:rPr>
          <w:rFonts w:ascii="宋体" w:eastAsia="宋体" w:hAnsi="宋体"/>
          <w:szCs w:val="21"/>
        </w:rPr>
      </w:pPr>
      <w:r>
        <w:rPr>
          <w:rFonts w:ascii="宋体" w:eastAsia="宋体" w:hAnsi="宋体" w:hint="eastAsia"/>
          <w:szCs w:val="21"/>
        </w:rPr>
        <w:t>3.2 “政府集中采购机构”</w:t>
      </w:r>
      <w:r>
        <w:rPr>
          <w:rFonts w:ascii="宋体" w:eastAsia="宋体" w:hAnsi="宋体" w:cs="Arial" w:hint="eastAsia"/>
          <w:szCs w:val="21"/>
          <w:shd w:val="clear" w:color="auto" w:fill="FFFFFF"/>
        </w:rPr>
        <w:t>是指市政府设立的，对纳入集中采购目录内的采购项目组织实施采购，并对政府采购活动提供服务的专门机构；</w:t>
      </w:r>
      <w:r>
        <w:rPr>
          <w:rFonts w:ascii="宋体" w:eastAsia="宋体" w:hAnsi="宋体" w:hint="eastAsia"/>
          <w:szCs w:val="21"/>
        </w:rPr>
        <w:t>本文件所述的“政府集中采购机构”</w:t>
      </w:r>
      <w:r>
        <w:rPr>
          <w:rFonts w:ascii="宋体" w:eastAsia="宋体" w:hAnsi="宋体"/>
          <w:szCs w:val="21"/>
        </w:rPr>
        <w:t>指</w:t>
      </w:r>
      <w:r>
        <w:rPr>
          <w:rFonts w:ascii="宋体" w:eastAsia="宋体" w:hAnsi="宋体" w:hint="eastAsia"/>
          <w:szCs w:val="21"/>
        </w:rPr>
        <w:t>深圳公共资源交易中心；</w:t>
      </w:r>
    </w:p>
    <w:p>
      <w:pPr>
        <w:spacing w:line="360" w:lineRule="auto"/>
        <w:ind w:firstLine="412" w:firstLineChars="196"/>
        <w:rPr>
          <w:rFonts w:ascii="宋体" w:eastAsia="宋体" w:hAnsi="宋体"/>
          <w:szCs w:val="21"/>
        </w:rPr>
      </w:pPr>
      <w:r>
        <w:rPr>
          <w:rFonts w:ascii="宋体" w:eastAsia="宋体" w:hAnsi="宋体" w:hint="eastAsia"/>
          <w:szCs w:val="21"/>
        </w:rPr>
        <w:t>3.3“采购代理机构”是指根据采购人委托，代理政府采购事宜的社会采购代理机构。本招标文件的招标机构特指</w:t>
      </w:r>
      <w:r>
        <w:rPr>
          <w:rFonts w:ascii="宋体" w:eastAsia="宋体" w:hAnsi="宋体" w:hint="eastAsia"/>
          <w:b/>
          <w:bCs/>
          <w:szCs w:val="21"/>
        </w:rPr>
        <w:t>深圳市中正招标有限公司；</w:t>
      </w:r>
    </w:p>
    <w:p>
      <w:pPr>
        <w:spacing w:line="360" w:lineRule="auto"/>
        <w:ind w:firstLine="412" w:firstLineChars="196"/>
        <w:rPr>
          <w:rFonts w:ascii="宋体" w:eastAsia="宋体" w:hAnsi="宋体"/>
          <w:szCs w:val="21"/>
        </w:rPr>
      </w:pPr>
      <w:r>
        <w:rPr>
          <w:rFonts w:ascii="宋体" w:eastAsia="宋体" w:hAnsi="宋体" w:hint="eastAsia"/>
          <w:szCs w:val="21"/>
        </w:rPr>
        <w:t>3.4“投标人”，即供应商，指参加投标竞争并愿意按照招标文件要求向采购人提供货物、工程或者服务的依法成立的法人、其他组织或者自然人；</w:t>
      </w:r>
    </w:p>
    <w:p>
      <w:pPr>
        <w:spacing w:line="360" w:lineRule="auto"/>
        <w:ind w:firstLine="412" w:firstLineChars="196"/>
        <w:rPr>
          <w:rFonts w:ascii="宋体" w:eastAsia="宋体" w:hAnsi="宋体"/>
          <w:szCs w:val="21"/>
        </w:rPr>
      </w:pPr>
      <w:r>
        <w:rPr>
          <w:rFonts w:ascii="宋体" w:eastAsia="宋体" w:hAnsi="宋体" w:hint="eastAsia"/>
          <w:szCs w:val="21"/>
        </w:rPr>
        <w:t>3.5“评审委员会”是依据《深圳经济特区政府采购条例》、《深圳经济特区政府采购条例实施细则》等有关规定组建的专门负责本次招标其评审工作的临时性机构；</w:t>
      </w:r>
    </w:p>
    <w:p>
      <w:pPr>
        <w:spacing w:line="360" w:lineRule="auto"/>
        <w:ind w:firstLine="412" w:firstLineChars="196"/>
        <w:rPr>
          <w:rFonts w:ascii="宋体" w:eastAsia="宋体" w:hAnsi="宋体"/>
          <w:szCs w:val="21"/>
        </w:rPr>
      </w:pPr>
      <w:r>
        <w:rPr>
          <w:rFonts w:ascii="宋体" w:eastAsia="宋体" w:hAnsi="宋体" w:hint="eastAsia"/>
          <w:szCs w:val="21"/>
        </w:rPr>
        <w:t>3.6“日期”</w:t>
      </w:r>
      <w:r>
        <w:rPr>
          <w:rFonts w:ascii="宋体" w:eastAsia="宋体" w:hAnsi="宋体"/>
          <w:szCs w:val="21"/>
        </w:rPr>
        <w:t>指</w:t>
      </w:r>
      <w:r>
        <w:rPr>
          <w:rFonts w:ascii="宋体" w:eastAsia="宋体" w:hAnsi="宋体" w:hint="eastAsia"/>
          <w:szCs w:val="21"/>
        </w:rPr>
        <w:t>公历日；</w:t>
      </w:r>
    </w:p>
    <w:p>
      <w:pPr>
        <w:spacing w:line="360" w:lineRule="auto"/>
        <w:ind w:firstLine="412" w:firstLineChars="196"/>
        <w:rPr>
          <w:rFonts w:ascii="宋体" w:eastAsia="宋体" w:hAnsi="宋体"/>
          <w:szCs w:val="21"/>
        </w:rPr>
      </w:pPr>
      <w:r>
        <w:rPr>
          <w:rFonts w:ascii="宋体" w:eastAsia="宋体" w:hAnsi="宋体" w:hint="eastAsia"/>
          <w:szCs w:val="21"/>
        </w:rPr>
        <w:t>3.7“合同”指由本次招标所产生的合同或合约文件；</w:t>
      </w:r>
    </w:p>
    <w:p>
      <w:pPr>
        <w:spacing w:line="360" w:lineRule="auto"/>
        <w:ind w:firstLine="412" w:firstLineChars="196"/>
        <w:rPr>
          <w:rFonts w:ascii="宋体" w:eastAsia="宋体" w:hAnsi="宋体"/>
          <w:szCs w:val="21"/>
        </w:rPr>
      </w:pPr>
      <w:r>
        <w:rPr>
          <w:rFonts w:ascii="宋体" w:eastAsia="宋体" w:hAnsi="宋体" w:hint="eastAsia"/>
          <w:szCs w:val="21"/>
        </w:rPr>
        <w:t>3.8“电子投标文件”指利用</w:t>
      </w:r>
      <w:r>
        <w:rPr>
          <w:rFonts w:ascii="宋体" w:eastAsia="宋体" w:hAnsi="宋体" w:hint="eastAsia"/>
          <w:bCs/>
          <w:szCs w:val="21"/>
        </w:rPr>
        <w:t>深圳公共资源交易网</w:t>
      </w:r>
      <w:r>
        <w:rPr>
          <w:rFonts w:ascii="宋体" w:eastAsia="宋体" w:hAnsi="宋体" w:hint="eastAsia"/>
          <w:szCs w:val="21"/>
        </w:rPr>
        <w:t>站提供的深圳智慧采购平台投标文件制作专用软件（以下简称：投标文件制作软件）制作并加密的投标文件,适用于网上投标；（投标文件制作软件可从“下载地址：</w:t>
      </w:r>
      <w:r>
        <w:rPr>
          <w:rFonts w:ascii="宋体" w:eastAsia="宋体" w:hAnsi="宋体"/>
          <w:szCs w:val="21"/>
        </w:rPr>
        <w:t>http://zfcg.szggzy.com/</w:t>
      </w:r>
      <w:r>
        <w:rPr>
          <w:rFonts w:ascii="宋体" w:eastAsia="宋体" w:hAnsi="宋体" w:hint="eastAsia"/>
          <w:szCs w:val="21"/>
        </w:rPr>
        <w:t>TPBidder/DownLoad/深圳市智慧采购平台投标文件制作专用软件.zip”下载）；</w:t>
      </w:r>
    </w:p>
    <w:p>
      <w:pPr>
        <w:spacing w:line="360" w:lineRule="auto"/>
        <w:ind w:firstLine="412" w:firstLineChars="196"/>
        <w:rPr>
          <w:rFonts w:ascii="宋体" w:eastAsia="宋体" w:hAnsi="宋体"/>
          <w:szCs w:val="21"/>
        </w:rPr>
      </w:pPr>
      <w:r>
        <w:rPr>
          <w:rFonts w:ascii="宋体" w:eastAsia="宋体" w:hAnsi="宋体" w:hint="eastAsia"/>
          <w:szCs w:val="21"/>
        </w:rPr>
        <w:t>3.9“网上投标”指通过</w:t>
      </w:r>
      <w:r>
        <w:rPr>
          <w:rFonts w:ascii="宋体" w:eastAsia="宋体" w:hAnsi="宋体" w:hint="eastAsia"/>
          <w:bCs/>
          <w:szCs w:val="21"/>
        </w:rPr>
        <w:t>深圳公共资源交易网</w:t>
      </w:r>
      <w:r>
        <w:rPr>
          <w:rFonts w:ascii="宋体" w:eastAsia="宋体" w:hAnsi="宋体" w:hint="eastAsia"/>
          <w:szCs w:val="21"/>
        </w:rPr>
        <w:t>站上传电子投标文件；</w:t>
      </w:r>
    </w:p>
    <w:p>
      <w:pPr>
        <w:spacing w:line="360" w:lineRule="auto"/>
        <w:ind w:firstLine="412" w:firstLineChars="196"/>
        <w:rPr>
          <w:rFonts w:ascii="宋体" w:eastAsia="宋体" w:hAnsi="宋体"/>
          <w:szCs w:val="21"/>
        </w:rPr>
      </w:pPr>
      <w:r>
        <w:rPr>
          <w:rFonts w:ascii="宋体" w:eastAsia="宋体" w:hAnsi="宋体" w:hint="eastAsia"/>
          <w:szCs w:val="21"/>
        </w:rPr>
        <w:t>3.10招标文件中的标题或题名仅起引导作用，而不应视为对招标文件内容的理解和解释。</w:t>
      </w:r>
    </w:p>
    <w:p>
      <w:pPr>
        <w:spacing w:line="360" w:lineRule="auto"/>
        <w:outlineLvl w:val="1"/>
        <w:rPr>
          <w:rFonts w:ascii="宋体" w:eastAsia="宋体" w:hAnsi="宋体"/>
          <w:b/>
          <w:bCs/>
          <w:szCs w:val="21"/>
        </w:rPr>
      </w:pPr>
      <w:r>
        <w:rPr>
          <w:rFonts w:ascii="宋体" w:eastAsia="宋体" w:hAnsi="宋体" w:hint="eastAsia"/>
          <w:b/>
          <w:bCs/>
          <w:szCs w:val="21"/>
        </w:rPr>
        <w:t xml:space="preserve">4. </w:t>
      </w:r>
      <w:bookmarkStart w:id="29" w:name="_Hlk72398643"/>
      <w:r>
        <w:rPr>
          <w:rFonts w:ascii="宋体" w:eastAsia="宋体" w:hAnsi="宋体" w:hint="eastAsia"/>
          <w:b/>
          <w:bCs/>
          <w:szCs w:val="21"/>
        </w:rPr>
        <w:t>政府采购供应商责任</w:t>
      </w:r>
    </w:p>
    <w:p>
      <w:pPr>
        <w:spacing w:line="360" w:lineRule="auto"/>
        <w:ind w:firstLine="412" w:firstLineChars="196"/>
        <w:rPr>
          <w:rFonts w:ascii="宋体" w:eastAsia="宋体" w:hAnsi="宋体"/>
          <w:szCs w:val="21"/>
        </w:rPr>
      </w:pPr>
      <w:r>
        <w:rPr>
          <w:rFonts w:ascii="宋体" w:eastAsia="宋体" w:hAnsi="宋体" w:hint="eastAsia"/>
          <w:szCs w:val="21"/>
        </w:rPr>
        <w:t>4.1欢迎诚信、有实力和有社会责任心的供应商参与政府采购事业。</w:t>
      </w:r>
    </w:p>
    <w:p>
      <w:pPr>
        <w:spacing w:line="360" w:lineRule="auto"/>
        <w:ind w:firstLine="412" w:firstLineChars="196"/>
        <w:rPr>
          <w:rFonts w:ascii="宋体" w:eastAsia="宋体" w:hAnsi="宋体"/>
          <w:szCs w:val="21"/>
        </w:rPr>
      </w:pPr>
      <w:r>
        <w:rPr>
          <w:rFonts w:ascii="宋体" w:eastAsia="宋体" w:hAnsi="宋体" w:hint="eastAsia"/>
          <w:szCs w:val="21"/>
        </w:rPr>
        <w:t>4.2投标人应当遵循公平竞争的原则，不得恶意串通，不得妨碍其他投标人的竞争行为，不得损害采购人或者其他投标人的合法权益。如违反上述要求，经核实后，供应商的投标无效。</w:t>
      </w:r>
    </w:p>
    <w:p>
      <w:pPr>
        <w:spacing w:line="360" w:lineRule="auto"/>
        <w:outlineLvl w:val="1"/>
        <w:rPr>
          <w:rFonts w:ascii="宋体" w:eastAsia="宋体" w:hAnsi="宋体"/>
          <w:b/>
          <w:bCs/>
          <w:szCs w:val="21"/>
        </w:rPr>
      </w:pPr>
      <w:r>
        <w:rPr>
          <w:rFonts w:ascii="宋体" w:eastAsia="宋体" w:hAnsi="宋体" w:hint="eastAsia"/>
          <w:b/>
          <w:bCs/>
          <w:szCs w:val="21"/>
        </w:rPr>
        <w:t>5．投标人参加政府采购的条件</w:t>
      </w:r>
    </w:p>
    <w:p>
      <w:pPr>
        <w:spacing w:line="360" w:lineRule="auto"/>
        <w:ind w:firstLine="412" w:firstLineChars="196"/>
        <w:rPr>
          <w:rFonts w:ascii="宋体" w:eastAsia="宋体" w:hAnsi="宋体"/>
          <w:szCs w:val="21"/>
        </w:rPr>
      </w:pPr>
      <w:r>
        <w:rPr>
          <w:rFonts w:ascii="宋体" w:eastAsia="宋体" w:hAnsi="宋体" w:hint="eastAsia"/>
          <w:szCs w:val="21"/>
        </w:rPr>
        <w:t>5.1投标人应在投标前到</w:t>
      </w:r>
      <w:r>
        <w:rPr>
          <w:rFonts w:ascii="宋体" w:eastAsia="宋体" w:hAnsi="宋体" w:hint="eastAsia"/>
          <w:b/>
          <w:bCs/>
          <w:szCs w:val="21"/>
        </w:rPr>
        <w:t>深圳公共资源交易中心（具体在深圳交易集团有限公司政府采购业务分公司进行办理）</w:t>
      </w:r>
      <w:r>
        <w:rPr>
          <w:rFonts w:ascii="宋体" w:eastAsia="宋体" w:hAnsi="宋体" w:hint="eastAsia"/>
          <w:szCs w:val="21"/>
        </w:rPr>
        <w:t>进行注册并办理电子密钥。《</w:t>
      </w:r>
      <w:r>
        <w:fldChar w:fldCharType="begin"/>
      </w:r>
      <w:r>
        <w:instrText xml:space="preserve"> HYPERLINK "http://www.szzfcg.cn/viewer.do?id=2455258" \t "documentViewer2455258" </w:instrText>
      </w:r>
      <w:r>
        <w:fldChar w:fldCharType="separate"/>
      </w:r>
      <w:r>
        <w:rPr>
          <w:rFonts w:ascii="宋体" w:eastAsia="宋体" w:hAnsi="宋体"/>
          <w:szCs w:val="21"/>
        </w:rPr>
        <w:t>供应商注册及电子密钥新申请指引</w:t>
      </w:r>
      <w:r>
        <w:rPr>
          <w:rFonts w:ascii="宋体" w:eastAsia="宋体" w:hAnsi="宋体"/>
          <w:szCs w:val="21"/>
        </w:rPr>
        <w:fldChar w:fldCharType="end"/>
      </w:r>
      <w:r>
        <w:rPr>
          <w:rFonts w:ascii="宋体" w:eastAsia="宋体" w:hAnsi="宋体" w:hint="eastAsia"/>
          <w:szCs w:val="21"/>
        </w:rPr>
        <w:t>》详见</w:t>
      </w:r>
      <w:r>
        <w:rPr>
          <w:rFonts w:ascii="宋体" w:eastAsia="宋体" w:hAnsi="宋体"/>
          <w:szCs w:val="21"/>
        </w:rPr>
        <w:t>http://zfcg.szggzy.com/</w:t>
      </w:r>
      <w:r>
        <w:rPr>
          <w:rFonts w:ascii="宋体" w:eastAsia="宋体" w:hAnsi="宋体" w:hint="eastAsia"/>
          <w:szCs w:val="21"/>
        </w:rPr>
        <w:t>。</w:t>
      </w:r>
    </w:p>
    <w:p>
      <w:pPr>
        <w:spacing w:line="360" w:lineRule="auto"/>
        <w:ind w:firstLine="412" w:firstLineChars="196"/>
        <w:rPr>
          <w:rFonts w:ascii="宋体" w:eastAsia="宋体" w:hAnsi="宋体"/>
          <w:szCs w:val="21"/>
        </w:rPr>
      </w:pPr>
      <w:r>
        <w:rPr>
          <w:rFonts w:ascii="宋体" w:eastAsia="宋体" w:hAnsi="宋体" w:hint="eastAsia"/>
          <w:szCs w:val="21"/>
        </w:rPr>
        <w:t>5.2投标人资格要求</w:t>
      </w:r>
    </w:p>
    <w:p>
      <w:pPr>
        <w:spacing w:line="360" w:lineRule="auto"/>
        <w:ind w:firstLine="412" w:firstLineChars="196"/>
        <w:rPr>
          <w:rFonts w:ascii="宋体" w:eastAsia="宋体" w:hAnsi="宋体"/>
          <w:szCs w:val="21"/>
        </w:rPr>
      </w:pPr>
      <w:r>
        <w:rPr>
          <w:rFonts w:ascii="宋体" w:eastAsia="宋体" w:hAnsi="宋体" w:hint="eastAsia"/>
          <w:szCs w:val="21"/>
        </w:rPr>
        <w:t>参加本项目的投标人应具备的资格条件详见本项目招标公告中 “投标人资格要求”（即申请人的资格要求）的内容。</w:t>
      </w:r>
    </w:p>
    <w:p>
      <w:pPr>
        <w:spacing w:line="360" w:lineRule="auto"/>
        <w:ind w:firstLine="412" w:firstLineChars="196"/>
        <w:rPr>
          <w:rFonts w:ascii="宋体" w:eastAsia="宋体" w:hAnsi="宋体"/>
          <w:szCs w:val="21"/>
        </w:rPr>
      </w:pPr>
      <w:r>
        <w:rPr>
          <w:rFonts w:ascii="宋体" w:eastAsia="宋体" w:hAnsi="宋体" w:hint="eastAsia"/>
          <w:szCs w:val="21"/>
        </w:rPr>
        <w:t>5.3联合体投标</w:t>
      </w:r>
    </w:p>
    <w:p>
      <w:pPr>
        <w:spacing w:line="360" w:lineRule="auto"/>
        <w:ind w:firstLine="412" w:firstLineChars="196"/>
        <w:rPr>
          <w:rFonts w:ascii="宋体" w:eastAsia="宋体" w:hAnsi="宋体"/>
          <w:szCs w:val="21"/>
        </w:rPr>
      </w:pPr>
      <w:r>
        <w:rPr>
          <w:rFonts w:ascii="宋体" w:eastAsia="宋体" w:hAnsi="宋体" w:hint="eastAsia"/>
          <w:szCs w:val="21"/>
        </w:rPr>
        <w:t>5.3.1　以下有关联合体投标的条款仅适用于允许投标人组成联合体投标的项目。</w:t>
      </w:r>
    </w:p>
    <w:p>
      <w:pPr>
        <w:spacing w:line="360" w:lineRule="auto"/>
        <w:ind w:firstLine="412" w:firstLineChars="196"/>
        <w:rPr>
          <w:rFonts w:ascii="宋体" w:eastAsia="宋体" w:hAnsi="宋体"/>
          <w:szCs w:val="21"/>
        </w:rPr>
      </w:pPr>
      <w:r>
        <w:rPr>
          <w:rFonts w:ascii="宋体" w:eastAsia="宋体" w:hAnsi="宋体" w:hint="eastAsia"/>
          <w:szCs w:val="21"/>
        </w:rPr>
        <w:t>5.3.2  由两个或两个以上的自然人、法人或者其他组织可以组成一个联合体，以一个供应商的身份共同投标时，应符合以下原则：</w:t>
      </w:r>
    </w:p>
    <w:p>
      <w:pPr>
        <w:spacing w:line="360" w:lineRule="auto"/>
        <w:ind w:firstLine="412" w:firstLineChars="196"/>
        <w:rPr>
          <w:rFonts w:ascii="宋体" w:eastAsia="宋体" w:hAnsi="宋体"/>
          <w:szCs w:val="21"/>
        </w:rPr>
      </w:pPr>
      <w:r>
        <w:rPr>
          <w:rFonts w:ascii="宋体" w:eastAsia="宋体" w:hAnsi="宋体" w:hint="eastAsia"/>
          <w:szCs w:val="21"/>
        </w:rPr>
        <w:t>（1）投标联合体各方参加政府采购活动应当具备下列条件：</w:t>
      </w:r>
    </w:p>
    <w:p>
      <w:pPr>
        <w:spacing w:line="360" w:lineRule="auto"/>
        <w:ind w:left="420" w:firstLine="412" w:leftChars="200" w:firstLineChars="196"/>
        <w:rPr>
          <w:rFonts w:ascii="宋体" w:eastAsia="宋体" w:hAnsi="宋体"/>
          <w:szCs w:val="21"/>
        </w:rPr>
      </w:pPr>
      <w:r>
        <w:rPr>
          <w:rFonts w:ascii="宋体" w:eastAsia="宋体" w:hAnsi="宋体" w:hint="eastAsia"/>
          <w:szCs w:val="21"/>
        </w:rPr>
        <w:t>1、具有独立承担民事责任的能力；</w:t>
      </w:r>
    </w:p>
    <w:p>
      <w:pPr>
        <w:spacing w:line="360" w:lineRule="auto"/>
        <w:ind w:left="420" w:firstLine="412" w:firstLineChars="196"/>
        <w:rPr>
          <w:rFonts w:ascii="宋体" w:eastAsia="宋体" w:hAnsi="宋体"/>
          <w:szCs w:val="21"/>
        </w:rPr>
      </w:pPr>
      <w:r>
        <w:rPr>
          <w:rFonts w:ascii="宋体" w:eastAsia="宋体" w:hAnsi="宋体" w:hint="eastAsia"/>
          <w:szCs w:val="21"/>
        </w:rPr>
        <w:t>2、有良好的商业信誉和健全的财务会计制度；</w:t>
      </w:r>
    </w:p>
    <w:p>
      <w:pPr>
        <w:spacing w:line="360" w:lineRule="auto"/>
        <w:ind w:left="420" w:firstLine="412" w:leftChars="200" w:firstLineChars="196"/>
        <w:rPr>
          <w:rFonts w:ascii="宋体" w:eastAsia="宋体" w:hAnsi="宋体"/>
          <w:szCs w:val="21"/>
        </w:rPr>
      </w:pPr>
      <w:r>
        <w:rPr>
          <w:rFonts w:ascii="宋体" w:eastAsia="宋体" w:hAnsi="宋体" w:hint="eastAsia"/>
          <w:szCs w:val="21"/>
        </w:rPr>
        <w:t>3、具有履行合同所必需的设备和专业技术能力；</w:t>
      </w:r>
    </w:p>
    <w:p>
      <w:pPr>
        <w:spacing w:line="360" w:lineRule="auto"/>
        <w:ind w:left="420" w:firstLine="412" w:leftChars="200" w:firstLineChars="196"/>
        <w:rPr>
          <w:rFonts w:ascii="宋体" w:eastAsia="宋体" w:hAnsi="宋体"/>
          <w:szCs w:val="21"/>
        </w:rPr>
      </w:pPr>
      <w:r>
        <w:rPr>
          <w:rFonts w:ascii="宋体" w:eastAsia="宋体" w:hAnsi="宋体" w:hint="eastAsia"/>
          <w:szCs w:val="21"/>
        </w:rPr>
        <w:t>4、有依法缴纳税收和社会保障资金的良好记录；</w:t>
      </w:r>
    </w:p>
    <w:p>
      <w:pPr>
        <w:spacing w:line="360" w:lineRule="auto"/>
        <w:ind w:left="420" w:firstLine="412" w:leftChars="200" w:firstLineChars="196"/>
        <w:rPr>
          <w:rFonts w:ascii="宋体" w:eastAsia="宋体" w:hAnsi="宋体"/>
          <w:szCs w:val="21"/>
        </w:rPr>
      </w:pPr>
      <w:r>
        <w:rPr>
          <w:rFonts w:ascii="宋体" w:eastAsia="宋体" w:hAnsi="宋体" w:hint="eastAsia"/>
          <w:szCs w:val="21"/>
        </w:rPr>
        <w:t>5、参加政府采购活动前三年内，在经营活动中没有重大违法记录；</w:t>
      </w:r>
    </w:p>
    <w:p>
      <w:pPr>
        <w:spacing w:line="360" w:lineRule="auto"/>
        <w:ind w:left="420" w:firstLine="412" w:leftChars="200" w:firstLineChars="196"/>
        <w:rPr>
          <w:rFonts w:ascii="宋体" w:eastAsia="宋体" w:hAnsi="宋体"/>
          <w:szCs w:val="21"/>
        </w:rPr>
      </w:pPr>
      <w:r>
        <w:rPr>
          <w:rFonts w:ascii="宋体" w:eastAsia="宋体" w:hAnsi="宋体" w:hint="eastAsia"/>
          <w:szCs w:val="21"/>
        </w:rPr>
        <w:t>6、法律、行政法规规定的其他条件。</w:t>
      </w:r>
    </w:p>
    <w:p>
      <w:pPr>
        <w:spacing w:line="360" w:lineRule="auto"/>
        <w:ind w:firstLine="412" w:firstLineChars="196"/>
        <w:rPr>
          <w:rFonts w:ascii="宋体" w:eastAsia="宋体" w:hAnsi="宋体"/>
          <w:szCs w:val="21"/>
        </w:rPr>
      </w:pPr>
      <w:r>
        <w:rPr>
          <w:rFonts w:ascii="宋体" w:eastAsia="宋体" w:hAnsi="宋体" w:hint="eastAsia"/>
          <w:szCs w:val="21"/>
        </w:rPr>
        <w:t>（2）联合体中有同类资质的供应商按照联合体分工承担相同工作的，应当按照资质等级较低的供应商确定资质等级；</w:t>
      </w:r>
    </w:p>
    <w:p>
      <w:pPr>
        <w:spacing w:line="360" w:lineRule="auto"/>
        <w:ind w:firstLine="412" w:firstLineChars="196"/>
        <w:rPr>
          <w:rFonts w:ascii="宋体" w:eastAsia="宋体" w:hAnsi="宋体"/>
          <w:szCs w:val="21"/>
        </w:rPr>
      </w:pPr>
      <w:r>
        <w:rPr>
          <w:rFonts w:ascii="宋体" w:eastAsia="宋体" w:hAnsi="宋体" w:hint="eastAsia"/>
          <w:szCs w:val="21"/>
        </w:rPr>
        <w:t>（3）是否允许联合体参加投标，应当由采购人和采购代理机构根据项目的实际情况和潜在供应商的数量自主决定，如果决定接受联合体投标则应当在招标公告中明示；</w:t>
      </w:r>
    </w:p>
    <w:p>
      <w:pPr>
        <w:spacing w:line="360" w:lineRule="auto"/>
        <w:ind w:firstLine="412" w:firstLineChars="196"/>
        <w:rPr>
          <w:rFonts w:ascii="宋体" w:eastAsia="宋体" w:hAnsi="宋体"/>
          <w:szCs w:val="21"/>
        </w:rPr>
      </w:pPr>
      <w:r>
        <w:rPr>
          <w:rFonts w:ascii="宋体" w:eastAsia="宋体" w:hAnsi="宋体" w:hint="eastAsia"/>
          <w:szCs w:val="21"/>
        </w:rPr>
        <w:t>（4）投标人的投标文件及中标后签署的合同协议对联合体各方均具法律约束力；</w:t>
      </w:r>
    </w:p>
    <w:p>
      <w:pPr>
        <w:spacing w:line="360" w:lineRule="auto"/>
        <w:ind w:firstLine="412" w:firstLineChars="196"/>
        <w:rPr>
          <w:rFonts w:ascii="宋体" w:eastAsia="宋体" w:hAnsi="宋体"/>
          <w:szCs w:val="21"/>
        </w:rPr>
      </w:pPr>
      <w:r>
        <w:rPr>
          <w:rFonts w:ascii="宋体" w:eastAsia="宋体" w:hAnsi="宋体" w:hint="eastAsia"/>
          <w:szCs w:val="21"/>
        </w:rPr>
        <w:t>（5）联合体各方应当签订联合体投标协议，明确约定各方拟承担的工作和责任，并将该协议随投标文件一并递交给采购代理机构；</w:t>
      </w:r>
    </w:p>
    <w:p>
      <w:pPr>
        <w:spacing w:line="360" w:lineRule="auto"/>
        <w:ind w:firstLine="412" w:firstLineChars="196"/>
        <w:rPr>
          <w:rFonts w:ascii="宋体" w:eastAsia="宋体" w:hAnsi="宋体"/>
          <w:szCs w:val="21"/>
        </w:rPr>
      </w:pPr>
      <w:r>
        <w:rPr>
          <w:rFonts w:ascii="宋体" w:eastAsia="宋体" w:hAnsi="宋体" w:hint="eastAsia"/>
          <w:szCs w:val="21"/>
        </w:rPr>
        <w:t>（6）联合体中标后，联合体各方应当共同与采购人签订合同，就中标项目向采购人承担连带责任；</w:t>
      </w:r>
    </w:p>
    <w:p>
      <w:pPr>
        <w:spacing w:line="360" w:lineRule="auto"/>
        <w:ind w:firstLine="412" w:firstLineChars="196"/>
        <w:rPr>
          <w:rFonts w:ascii="宋体" w:eastAsia="宋体" w:hAnsi="宋体"/>
          <w:szCs w:val="21"/>
        </w:rPr>
      </w:pPr>
      <w:r>
        <w:rPr>
          <w:rFonts w:ascii="宋体" w:eastAsia="宋体" w:hAnsi="宋体" w:hint="eastAsia"/>
          <w:szCs w:val="21"/>
        </w:rPr>
        <w:t>（7）以联合体形式参加政府采购活动的，联合体各方不得再单独参加或者与其他供应商另外组成联合体参加同一合同项下的政府采购活动，出现上述情况者，其投标和与此有关联合体、总包单位的投标将被拒绝；</w:t>
      </w:r>
    </w:p>
    <w:p>
      <w:pPr>
        <w:spacing w:line="360" w:lineRule="auto"/>
        <w:ind w:firstLine="412" w:firstLineChars="196"/>
        <w:rPr>
          <w:rFonts w:ascii="宋体" w:eastAsia="宋体" w:hAnsi="宋体"/>
          <w:szCs w:val="21"/>
        </w:rPr>
      </w:pPr>
      <w:r>
        <w:rPr>
          <w:rFonts w:ascii="宋体" w:eastAsia="宋体" w:hAnsi="宋体" w:hint="eastAsia"/>
          <w:szCs w:val="21"/>
        </w:rPr>
        <w:t>（8）本通用条款中“投标人”一词亦指联合体各方，专用条款另有规定或说明的除外。</w:t>
      </w:r>
    </w:p>
    <w:p>
      <w:pPr>
        <w:spacing w:line="360" w:lineRule="auto"/>
        <w:outlineLvl w:val="1"/>
        <w:rPr>
          <w:rFonts w:ascii="宋体" w:eastAsia="宋体" w:hAnsi="宋体"/>
          <w:b/>
          <w:bCs/>
          <w:szCs w:val="21"/>
        </w:rPr>
      </w:pPr>
      <w:r>
        <w:rPr>
          <w:rFonts w:ascii="宋体" w:eastAsia="宋体" w:hAnsi="宋体" w:hint="eastAsia"/>
          <w:b/>
          <w:bCs/>
          <w:szCs w:val="21"/>
        </w:rPr>
        <w:t>6．政策导向</w:t>
      </w:r>
    </w:p>
    <w:p>
      <w:pPr>
        <w:spacing w:line="360" w:lineRule="auto"/>
        <w:ind w:firstLine="412" w:firstLineChars="196"/>
        <w:rPr>
          <w:rFonts w:ascii="宋体" w:eastAsia="宋体" w:hAnsi="宋体"/>
          <w:szCs w:val="21"/>
        </w:rPr>
      </w:pPr>
      <w:r>
        <w:rPr>
          <w:rFonts w:ascii="宋体" w:eastAsia="宋体" w:hAnsi="宋体" w:hint="eastAsia"/>
          <w:szCs w:val="21"/>
        </w:rPr>
        <w:t>6.1政府采购扶持贫困地区、中小企业、监狱企业和残疾人福利性单位发展，支持节能减排、环境保护。</w:t>
      </w:r>
    </w:p>
    <w:p>
      <w:pPr>
        <w:spacing w:line="360" w:lineRule="auto"/>
        <w:ind w:firstLine="405"/>
        <w:rPr>
          <w:rFonts w:ascii="宋体" w:eastAsia="宋体" w:hAnsi="宋体"/>
          <w:szCs w:val="21"/>
          <w:shd w:val="clear" w:color="auto" w:fill="FFFFFF"/>
        </w:rPr>
      </w:pPr>
      <w:r>
        <w:rPr>
          <w:rFonts w:ascii="宋体" w:eastAsia="宋体" w:hAnsi="宋体" w:hint="eastAsia"/>
          <w:szCs w:val="21"/>
        </w:rPr>
        <w:t>6.2本项目落实深圳市政府采购供应商诚信管理政策要求。</w:t>
      </w:r>
    </w:p>
    <w:p>
      <w:pPr>
        <w:spacing w:line="360" w:lineRule="auto"/>
        <w:outlineLvl w:val="1"/>
        <w:rPr>
          <w:rFonts w:ascii="宋体" w:eastAsia="宋体" w:hAnsi="宋体"/>
          <w:b/>
          <w:bCs/>
          <w:szCs w:val="21"/>
        </w:rPr>
      </w:pPr>
      <w:r>
        <w:rPr>
          <w:rFonts w:ascii="宋体" w:eastAsia="宋体" w:hAnsi="宋体" w:hint="eastAsia"/>
          <w:b/>
          <w:bCs/>
          <w:szCs w:val="21"/>
        </w:rPr>
        <w:t>7. 本项目若涉及采购货物，则合格的货物及相应服务应满足以下要求：</w:t>
      </w:r>
    </w:p>
    <w:p>
      <w:pPr>
        <w:spacing w:line="360" w:lineRule="auto"/>
        <w:ind w:firstLine="412" w:firstLineChars="196"/>
        <w:rPr>
          <w:rFonts w:ascii="宋体" w:eastAsia="宋体" w:hAnsi="宋体"/>
          <w:szCs w:val="21"/>
        </w:rPr>
      </w:pPr>
      <w:r>
        <w:rPr>
          <w:rFonts w:ascii="宋体" w:eastAsia="宋体" w:hAnsi="宋体" w:hint="eastAsia"/>
          <w:szCs w:val="21"/>
        </w:rPr>
        <w:t>7</w:t>
      </w:r>
      <w:r>
        <w:rPr>
          <w:rFonts w:ascii="宋体" w:eastAsia="宋体" w:hAnsi="宋体"/>
          <w:szCs w:val="21"/>
        </w:rPr>
        <w:t xml:space="preserve">.1  </w:t>
      </w:r>
      <w:r>
        <w:rPr>
          <w:rFonts w:ascii="宋体" w:eastAsia="宋体" w:hAnsi="宋体" w:hint="eastAsia"/>
          <w:szCs w:val="21"/>
        </w:rPr>
        <w:t>必须是全新、未使用过的原装合格正品（包括零部件），如安装或配置了软件的，须为正版软件。</w:t>
      </w:r>
    </w:p>
    <w:p>
      <w:pPr>
        <w:spacing w:line="360" w:lineRule="auto"/>
        <w:ind w:firstLine="412" w:firstLineChars="196"/>
        <w:rPr>
          <w:rFonts w:ascii="宋体" w:eastAsia="宋体" w:hAnsi="宋体"/>
          <w:szCs w:val="21"/>
        </w:rPr>
      </w:pPr>
      <w:r>
        <w:rPr>
          <w:rFonts w:ascii="宋体" w:eastAsia="宋体" w:hAnsi="宋体" w:hint="eastAsia"/>
          <w:szCs w:val="21"/>
        </w:rPr>
        <w:t>7.2  国产的货物及其有关服务必须符合中华人民共和国的设计、制造生产标准及行业标准。招标公告有其他要求的，亦应符合其要求。</w:t>
      </w:r>
    </w:p>
    <w:p>
      <w:pPr>
        <w:spacing w:line="360" w:lineRule="auto"/>
        <w:ind w:firstLine="412" w:firstLineChars="196"/>
        <w:rPr>
          <w:rFonts w:ascii="宋体" w:eastAsia="宋体" w:hAnsi="宋体"/>
          <w:szCs w:val="21"/>
        </w:rPr>
      </w:pPr>
      <w:r>
        <w:rPr>
          <w:rFonts w:ascii="宋体" w:eastAsia="宋体" w:hAnsi="宋体" w:hint="eastAsia"/>
          <w:szCs w:val="21"/>
        </w:rPr>
        <w:t>7</w:t>
      </w:r>
      <w:r>
        <w:rPr>
          <w:rFonts w:ascii="宋体" w:eastAsia="宋体" w:hAnsi="宋体"/>
          <w:szCs w:val="21"/>
        </w:rPr>
        <w:t>.</w:t>
      </w:r>
      <w:r>
        <w:rPr>
          <w:rFonts w:ascii="宋体" w:eastAsia="宋体" w:hAnsi="宋体" w:hint="eastAsia"/>
          <w:szCs w:val="21"/>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spacing w:line="360" w:lineRule="auto"/>
        <w:ind w:firstLine="412" w:firstLineChars="196"/>
        <w:rPr>
          <w:rFonts w:ascii="宋体" w:eastAsia="宋体" w:hAnsi="宋体"/>
          <w:szCs w:val="21"/>
        </w:rPr>
      </w:pPr>
      <w:r>
        <w:rPr>
          <w:rFonts w:ascii="宋体" w:eastAsia="宋体" w:hAnsi="宋体" w:hint="eastAsia"/>
          <w:szCs w:val="21"/>
        </w:rPr>
        <w:t>7</w:t>
      </w:r>
      <w:r>
        <w:rPr>
          <w:rFonts w:ascii="宋体" w:eastAsia="宋体" w:hAnsi="宋体"/>
          <w:szCs w:val="21"/>
        </w:rPr>
        <w:t>.</w:t>
      </w:r>
      <w:r>
        <w:rPr>
          <w:rFonts w:ascii="宋体" w:eastAsia="宋体" w:hAnsi="宋体" w:hint="eastAsia"/>
          <w:szCs w:val="21"/>
        </w:rPr>
        <w:t>4投标人</w:t>
      </w:r>
      <w:bookmarkStart w:id="30" w:name="_Hlk72152753"/>
      <w:r>
        <w:rPr>
          <w:rFonts w:ascii="宋体" w:eastAsia="宋体" w:hAnsi="宋体" w:hint="eastAsia"/>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30"/>
    </w:p>
    <w:p>
      <w:pPr>
        <w:spacing w:line="360" w:lineRule="auto"/>
        <w:ind w:firstLine="412" w:firstLineChars="196"/>
        <w:rPr>
          <w:rFonts w:ascii="宋体" w:eastAsia="宋体" w:hAnsi="宋体"/>
          <w:szCs w:val="21"/>
        </w:rPr>
      </w:pPr>
      <w:r>
        <w:rPr>
          <w:rFonts w:ascii="宋体" w:eastAsia="宋体" w:hAnsi="宋体" w:hint="eastAsia"/>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spacing w:line="360" w:lineRule="auto"/>
        <w:ind w:firstLine="412" w:firstLineChars="196"/>
        <w:rPr>
          <w:rFonts w:ascii="宋体" w:eastAsia="宋体" w:hAnsi="宋体"/>
          <w:szCs w:val="21"/>
        </w:rPr>
      </w:pPr>
      <w:r>
        <w:rPr>
          <w:rFonts w:ascii="宋体" w:eastAsia="宋体" w:hAnsi="宋体" w:hint="eastAsia"/>
          <w:szCs w:val="21"/>
        </w:rPr>
        <w:t>7.6  工期要求：投标人在投标时对其所投项目应提交交货进度、交货计划等，在合同规定的时间内完成项目实施工作。</w:t>
      </w:r>
    </w:p>
    <w:p>
      <w:pPr>
        <w:spacing w:line="360" w:lineRule="auto"/>
        <w:ind w:firstLine="412" w:firstLineChars="196"/>
        <w:rPr>
          <w:rFonts w:ascii="宋体" w:eastAsia="宋体" w:hAnsi="宋体"/>
          <w:szCs w:val="21"/>
        </w:rPr>
      </w:pPr>
      <w:r>
        <w:rPr>
          <w:rFonts w:ascii="宋体" w:eastAsia="宋体" w:hAnsi="宋体" w:hint="eastAsia"/>
          <w:szCs w:val="21"/>
        </w:rPr>
        <w:t>7.7  投标人必须承担的设备运输、安装调试、验收检测和提供设备操作说明书、图纸等其他相关及类似的义务。</w:t>
      </w:r>
    </w:p>
    <w:p>
      <w:pPr>
        <w:spacing w:line="360" w:lineRule="auto"/>
        <w:outlineLvl w:val="1"/>
        <w:rPr>
          <w:rFonts w:ascii="宋体" w:eastAsia="宋体" w:hAnsi="宋体"/>
          <w:b/>
          <w:bCs/>
          <w:szCs w:val="21"/>
        </w:rPr>
      </w:pPr>
      <w:r>
        <w:rPr>
          <w:rFonts w:ascii="宋体" w:eastAsia="宋体" w:hAnsi="宋体" w:hint="eastAsia"/>
          <w:b/>
          <w:bCs/>
          <w:szCs w:val="21"/>
        </w:rPr>
        <w:t>8．投标费用</w:t>
      </w:r>
    </w:p>
    <w:p>
      <w:pPr>
        <w:spacing w:line="360" w:lineRule="auto"/>
        <w:ind w:firstLine="412" w:firstLineChars="196"/>
        <w:rPr>
          <w:rFonts w:ascii="宋体" w:eastAsia="宋体" w:hAnsi="宋体"/>
          <w:szCs w:val="21"/>
        </w:rPr>
      </w:pPr>
      <w:r>
        <w:rPr>
          <w:rFonts w:ascii="宋体" w:eastAsia="宋体" w:hAnsi="宋体" w:hint="eastAsia"/>
          <w:szCs w:val="21"/>
        </w:rPr>
        <w:t>不论投标结果如何，投标人应承担其编制投标文件与递交投标文件所涉及的一切费用。</w:t>
      </w:r>
    </w:p>
    <w:p>
      <w:pPr>
        <w:spacing w:line="360" w:lineRule="auto"/>
        <w:outlineLvl w:val="1"/>
        <w:rPr>
          <w:rFonts w:ascii="宋体" w:eastAsia="宋体" w:hAnsi="宋体"/>
          <w:b/>
          <w:bCs/>
          <w:szCs w:val="21"/>
        </w:rPr>
      </w:pPr>
      <w:r>
        <w:rPr>
          <w:rFonts w:ascii="宋体" w:eastAsia="宋体" w:hAnsi="宋体" w:hint="eastAsia"/>
          <w:b/>
          <w:bCs/>
          <w:szCs w:val="21"/>
        </w:rPr>
        <w:t>9．踏勘现场</w:t>
      </w:r>
    </w:p>
    <w:p>
      <w:pPr>
        <w:spacing w:line="360" w:lineRule="auto"/>
        <w:ind w:firstLine="412" w:firstLineChars="196"/>
        <w:rPr>
          <w:rFonts w:ascii="宋体" w:eastAsia="宋体" w:hAnsi="宋体"/>
          <w:szCs w:val="21"/>
        </w:rPr>
      </w:pPr>
      <w:r>
        <w:rPr>
          <w:rFonts w:ascii="宋体" w:eastAsia="宋体" w:hAnsi="宋体" w:hint="eastAsia"/>
          <w:szCs w:val="21"/>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pPr>
        <w:spacing w:line="360" w:lineRule="auto"/>
        <w:ind w:firstLine="412" w:firstLineChars="196"/>
        <w:rPr>
          <w:rFonts w:ascii="宋体" w:eastAsia="宋体" w:hAnsi="宋体"/>
          <w:szCs w:val="21"/>
        </w:rPr>
      </w:pPr>
      <w:r>
        <w:rPr>
          <w:rFonts w:ascii="宋体" w:eastAsia="宋体" w:hAnsi="宋体" w:hint="eastAsia"/>
          <w:szCs w:val="21"/>
        </w:rPr>
        <w:t>9.2投标人及其人员经过采购人的允许，可以进入采购人的项目现场踏勘。若招标文件要求投标人于统一时间地点踏勘现场的，投标人应当按时前往。</w:t>
      </w:r>
    </w:p>
    <w:p>
      <w:pPr>
        <w:spacing w:line="360" w:lineRule="auto"/>
        <w:ind w:firstLine="412" w:firstLineChars="196"/>
        <w:rPr>
          <w:rFonts w:ascii="宋体" w:eastAsia="宋体" w:hAnsi="宋体"/>
          <w:szCs w:val="21"/>
        </w:rPr>
      </w:pPr>
      <w:r>
        <w:rPr>
          <w:rFonts w:ascii="宋体" w:eastAsia="宋体" w:hAnsi="宋体" w:hint="eastAsia"/>
          <w:szCs w:val="21"/>
        </w:rPr>
        <w:t>9.3采购人应当通过采购代理机构向投标人提供有关现场的书面资料和数据。</w:t>
      </w:r>
    </w:p>
    <w:p>
      <w:pPr>
        <w:spacing w:line="360" w:lineRule="auto"/>
        <w:ind w:firstLine="412" w:firstLineChars="196"/>
        <w:rPr>
          <w:rFonts w:ascii="宋体" w:eastAsia="宋体" w:hAnsi="宋体"/>
          <w:szCs w:val="21"/>
        </w:rPr>
      </w:pPr>
      <w:r>
        <w:rPr>
          <w:rFonts w:ascii="宋体" w:eastAsia="宋体" w:hAnsi="宋体" w:hint="eastAsia"/>
          <w:szCs w:val="21"/>
        </w:rPr>
        <w:t>9.4任何人或任何组织在踏勘现场时向投标人提供的任何书面资料或口头承诺，未经采购代理机构在网上发布或书面通知，均作无效处理。</w:t>
      </w:r>
    </w:p>
    <w:p>
      <w:pPr>
        <w:spacing w:line="360" w:lineRule="auto"/>
        <w:ind w:firstLine="412" w:firstLineChars="196"/>
        <w:rPr>
          <w:rFonts w:ascii="宋体" w:eastAsia="宋体" w:hAnsi="宋体"/>
          <w:szCs w:val="21"/>
        </w:rPr>
      </w:pPr>
      <w:r>
        <w:rPr>
          <w:rFonts w:ascii="宋体" w:eastAsia="宋体" w:hAnsi="宋体"/>
          <w:szCs w:val="21"/>
        </w:rPr>
        <w:t>9</w:t>
      </w:r>
      <w:r>
        <w:rPr>
          <w:rFonts w:ascii="宋体" w:eastAsia="宋体" w:hAnsi="宋体" w:hint="eastAsia"/>
          <w:szCs w:val="21"/>
        </w:rPr>
        <w:t>.</w:t>
      </w:r>
      <w:r>
        <w:rPr>
          <w:rFonts w:ascii="宋体" w:eastAsia="宋体" w:hAnsi="宋体"/>
          <w:szCs w:val="21"/>
        </w:rPr>
        <w:t>5</w:t>
      </w:r>
      <w:r>
        <w:rPr>
          <w:rFonts w:ascii="宋体" w:eastAsia="宋体" w:hAnsi="宋体" w:hint="eastAsia"/>
          <w:szCs w:val="21"/>
        </w:rPr>
        <w:t>未参与踏勘现场不作为否定投标人资格的理由。</w:t>
      </w:r>
    </w:p>
    <w:p>
      <w:pPr>
        <w:spacing w:line="360" w:lineRule="auto"/>
        <w:outlineLvl w:val="1"/>
        <w:rPr>
          <w:rFonts w:ascii="宋体" w:eastAsia="宋体" w:hAnsi="宋体"/>
          <w:b/>
          <w:bCs/>
          <w:szCs w:val="21"/>
        </w:rPr>
      </w:pPr>
      <w:r>
        <w:rPr>
          <w:rFonts w:ascii="宋体" w:eastAsia="宋体" w:hAnsi="宋体" w:hint="eastAsia"/>
          <w:b/>
          <w:bCs/>
          <w:szCs w:val="21"/>
        </w:rPr>
        <w:t>1</w:t>
      </w:r>
      <w:r>
        <w:rPr>
          <w:rFonts w:ascii="宋体" w:eastAsia="宋体" w:hAnsi="宋体"/>
          <w:b/>
          <w:bCs/>
          <w:szCs w:val="21"/>
        </w:rPr>
        <w:t>0</w:t>
      </w:r>
      <w:r>
        <w:rPr>
          <w:rFonts w:ascii="宋体" w:eastAsia="宋体" w:hAnsi="宋体" w:hint="eastAsia"/>
          <w:b/>
          <w:bCs/>
          <w:szCs w:val="21"/>
        </w:rPr>
        <w:t>．标前会议</w:t>
      </w:r>
    </w:p>
    <w:p>
      <w:pPr>
        <w:spacing w:line="360" w:lineRule="auto"/>
        <w:ind w:firstLine="412" w:firstLineChars="196"/>
        <w:rPr>
          <w:rFonts w:ascii="宋体" w:eastAsia="宋体" w:hAnsi="宋体"/>
          <w:szCs w:val="21"/>
        </w:rPr>
      </w:pPr>
      <w:r>
        <w:rPr>
          <w:rFonts w:ascii="宋体" w:eastAsia="宋体" w:hAnsi="宋体" w:hint="eastAsia"/>
          <w:szCs w:val="21"/>
        </w:rPr>
        <w:t>1</w:t>
      </w:r>
      <w:r>
        <w:rPr>
          <w:rFonts w:ascii="宋体" w:eastAsia="宋体" w:hAnsi="宋体"/>
          <w:szCs w:val="21"/>
        </w:rPr>
        <w:t>0</w:t>
      </w:r>
      <w:r>
        <w:rPr>
          <w:rFonts w:ascii="宋体" w:eastAsia="宋体" w:hAnsi="宋体" w:hint="eastAsia"/>
          <w:szCs w:val="21"/>
        </w:rPr>
        <w:t>.</w:t>
      </w:r>
      <w:r>
        <w:rPr>
          <w:rFonts w:ascii="宋体" w:eastAsia="宋体" w:hAnsi="宋体"/>
          <w:szCs w:val="21"/>
        </w:rPr>
        <w:t>1</w:t>
      </w:r>
      <w:r>
        <w:rPr>
          <w:rFonts w:ascii="宋体" w:eastAsia="宋体" w:hAnsi="宋体" w:hint="eastAsia"/>
          <w:szCs w:val="21"/>
        </w:rPr>
        <w:t>如采购人或采购代理机构认为有必要组织标前会议，投标人应按照招标文件规定的时间或采购代理机构另行书面通知（包括采购代理机构网站发布方式，如更正公告等）的时间和地点，参与标前会议。</w:t>
      </w:r>
    </w:p>
    <w:p>
      <w:pPr>
        <w:spacing w:line="360" w:lineRule="auto"/>
        <w:ind w:firstLine="412" w:firstLineChars="196"/>
        <w:rPr>
          <w:rFonts w:ascii="宋体" w:eastAsia="宋体" w:hAnsi="宋体"/>
          <w:szCs w:val="21"/>
        </w:rPr>
      </w:pPr>
      <w:r>
        <w:rPr>
          <w:rFonts w:ascii="宋体" w:eastAsia="宋体" w:hAnsi="宋体"/>
          <w:szCs w:val="21"/>
        </w:rPr>
        <w:t>10</w:t>
      </w:r>
      <w:r>
        <w:rPr>
          <w:rFonts w:ascii="宋体" w:eastAsia="宋体" w:hAnsi="宋体" w:hint="eastAsia"/>
          <w:szCs w:val="21"/>
        </w:rPr>
        <w:t>.</w:t>
      </w:r>
      <w:r>
        <w:rPr>
          <w:rFonts w:ascii="宋体" w:eastAsia="宋体" w:hAnsi="宋体"/>
          <w:szCs w:val="21"/>
        </w:rPr>
        <w:t>2</w:t>
      </w:r>
      <w:r>
        <w:rPr>
          <w:rFonts w:ascii="宋体" w:eastAsia="宋体" w:hAnsi="宋体" w:hint="eastAsia"/>
          <w:szCs w:val="21"/>
        </w:rPr>
        <w:t>任何人或任何组织在标前会议时向投标人提供的任何书面资料或口头承诺，未经采购代理机构在网上发布或书面通知，均作无效处理。</w:t>
      </w:r>
    </w:p>
    <w:p>
      <w:pPr>
        <w:spacing w:line="360" w:lineRule="auto"/>
        <w:ind w:firstLine="412" w:firstLineChars="196"/>
        <w:rPr>
          <w:rFonts w:ascii="宋体" w:eastAsia="宋体" w:hAnsi="宋体"/>
          <w:szCs w:val="21"/>
        </w:rPr>
      </w:pPr>
      <w:r>
        <w:rPr>
          <w:rFonts w:ascii="宋体" w:eastAsia="宋体" w:hAnsi="宋体" w:hint="eastAsia"/>
          <w:szCs w:val="21"/>
        </w:rPr>
        <w:t>1</w:t>
      </w:r>
      <w:r>
        <w:rPr>
          <w:rFonts w:ascii="宋体" w:eastAsia="宋体" w:hAnsi="宋体"/>
          <w:szCs w:val="21"/>
        </w:rPr>
        <w:t>0</w:t>
      </w:r>
      <w:r>
        <w:rPr>
          <w:rFonts w:ascii="宋体" w:eastAsia="宋体" w:hAnsi="宋体" w:hint="eastAsia"/>
          <w:szCs w:val="21"/>
        </w:rPr>
        <w:t>.</w:t>
      </w:r>
      <w:r>
        <w:rPr>
          <w:rFonts w:ascii="宋体" w:eastAsia="宋体" w:hAnsi="宋体"/>
          <w:szCs w:val="21"/>
        </w:rPr>
        <w:t>3</w:t>
      </w:r>
      <w:r>
        <w:rPr>
          <w:rFonts w:ascii="宋体" w:eastAsia="宋体" w:hAnsi="宋体" w:hint="eastAsia"/>
          <w:szCs w:val="21"/>
        </w:rPr>
        <w:t>未参与标前会议不作为否定投标人资格的理由。</w:t>
      </w:r>
    </w:p>
    <w:p>
      <w:pPr>
        <w:keepNext/>
        <w:keepLines/>
        <w:widowControl/>
        <w:numPr>
          <w:ilvl w:val="0"/>
          <w:numId w:val="2"/>
        </w:numPr>
        <w:adjustRightInd w:val="0"/>
        <w:spacing w:before="156" w:beforeLines="50" w:after="156" w:afterLines="50" w:line="360" w:lineRule="auto"/>
        <w:ind w:left="562" w:hanging="562"/>
        <w:jc w:val="center"/>
        <w:textAlignment w:val="baseline"/>
        <w:outlineLvl w:val="1"/>
        <w:rPr>
          <w:rFonts w:ascii="宋体" w:eastAsia="宋体" w:hAnsi="宋体"/>
          <w:b/>
          <w:bCs/>
          <w:kern w:val="0"/>
          <w:sz w:val="28"/>
          <w:szCs w:val="28"/>
        </w:rPr>
      </w:pPr>
      <w:bookmarkEnd w:id="29"/>
      <w:r>
        <w:rPr>
          <w:rFonts w:ascii="宋体" w:eastAsia="宋体" w:hAnsi="宋体" w:hint="eastAsia"/>
          <w:b/>
          <w:bCs/>
          <w:kern w:val="0"/>
          <w:sz w:val="28"/>
          <w:szCs w:val="28"/>
        </w:rPr>
        <w:t>招标文件</w:t>
      </w:r>
    </w:p>
    <w:p>
      <w:pPr>
        <w:spacing w:line="360" w:lineRule="auto"/>
        <w:rPr>
          <w:rFonts w:ascii="宋体" w:eastAsia="宋体" w:hAnsi="宋体"/>
          <w:b/>
          <w:bCs/>
          <w:szCs w:val="21"/>
        </w:rPr>
      </w:pPr>
      <w:r>
        <w:rPr>
          <w:rFonts w:ascii="宋体" w:eastAsia="宋体" w:hAnsi="宋体" w:hint="eastAsia"/>
          <w:b/>
          <w:bCs/>
          <w:szCs w:val="21"/>
        </w:rPr>
        <w:t>1</w:t>
      </w:r>
      <w:r>
        <w:rPr>
          <w:rFonts w:ascii="宋体" w:eastAsia="宋体" w:hAnsi="宋体"/>
          <w:b/>
          <w:bCs/>
          <w:szCs w:val="21"/>
        </w:rPr>
        <w:t>1</w:t>
      </w:r>
      <w:r>
        <w:rPr>
          <w:rFonts w:ascii="宋体" w:eastAsia="宋体" w:hAnsi="宋体" w:hint="eastAsia"/>
          <w:b/>
          <w:bCs/>
          <w:szCs w:val="21"/>
        </w:rPr>
        <w:t>．</w:t>
      </w:r>
      <w:bookmarkStart w:id="31" w:name="_Hlk72399819"/>
      <w:r>
        <w:rPr>
          <w:rFonts w:ascii="宋体" w:eastAsia="宋体" w:hAnsi="宋体" w:hint="eastAsia"/>
          <w:b/>
          <w:bCs/>
          <w:szCs w:val="21"/>
        </w:rPr>
        <w:t>招标文件的编制与组成</w:t>
      </w:r>
    </w:p>
    <w:p>
      <w:pPr>
        <w:snapToGrid w:val="0"/>
        <w:spacing w:line="360" w:lineRule="auto"/>
        <w:ind w:firstLine="420" w:firstLineChars="200"/>
        <w:rPr>
          <w:rFonts w:ascii="宋体" w:eastAsia="宋体" w:hAnsi="宋体"/>
          <w:szCs w:val="21"/>
        </w:rPr>
      </w:pPr>
      <w:r>
        <w:rPr>
          <w:rFonts w:ascii="宋体" w:eastAsia="宋体" w:hAnsi="宋体" w:hint="eastAsia"/>
          <w:szCs w:val="21"/>
        </w:rPr>
        <w:t>1</w:t>
      </w:r>
      <w:r>
        <w:rPr>
          <w:rFonts w:ascii="宋体" w:eastAsia="宋体" w:hAnsi="宋体"/>
          <w:szCs w:val="21"/>
        </w:rPr>
        <w:t>1</w:t>
      </w:r>
      <w:r>
        <w:rPr>
          <w:rFonts w:ascii="宋体" w:eastAsia="宋体" w:hAnsi="宋体" w:hint="eastAsia"/>
          <w:szCs w:val="21"/>
        </w:rPr>
        <w:t>.1招标文件除以下内容外，采购代理机构在招标期间发出的澄清或修改等相关公告或通知内容，均是招标文件的组成部分，对投标人起约束作用；</w:t>
      </w:r>
    </w:p>
    <w:p>
      <w:pPr>
        <w:spacing w:line="360" w:lineRule="auto"/>
        <w:ind w:firstLine="412" w:firstLineChars="196"/>
        <w:rPr>
          <w:rFonts w:ascii="宋体" w:eastAsia="宋体" w:hAnsi="宋体"/>
          <w:szCs w:val="21"/>
        </w:rPr>
      </w:pPr>
      <w:r>
        <w:rPr>
          <w:rFonts w:ascii="宋体" w:eastAsia="宋体" w:hAnsi="宋体" w:hint="eastAsia"/>
          <w:szCs w:val="21"/>
        </w:rPr>
        <w:t>招标文件包括下列内容：</w:t>
      </w:r>
    </w:p>
    <w:p>
      <w:pPr>
        <w:spacing w:line="360" w:lineRule="auto"/>
        <w:ind w:left="420" w:firstLine="412" w:leftChars="200" w:firstLineChars="196"/>
        <w:rPr>
          <w:rFonts w:ascii="宋体" w:eastAsia="宋体" w:hAnsi="宋体"/>
          <w:b/>
          <w:szCs w:val="21"/>
        </w:rPr>
      </w:pPr>
      <w:r>
        <w:rPr>
          <w:rFonts w:ascii="宋体" w:eastAsia="宋体" w:hAnsi="宋体" w:hint="eastAsia"/>
          <w:b/>
          <w:szCs w:val="21"/>
        </w:rPr>
        <w:t>第一册  专用条款</w:t>
      </w:r>
    </w:p>
    <w:p>
      <w:pPr>
        <w:spacing w:line="360" w:lineRule="auto"/>
        <w:ind w:left="1079" w:leftChars="514"/>
        <w:rPr>
          <w:rFonts w:ascii="宋体" w:eastAsia="宋体" w:hAnsi="宋体"/>
          <w:b/>
          <w:szCs w:val="21"/>
        </w:rPr>
      </w:pPr>
      <w:r>
        <w:rPr>
          <w:rFonts w:ascii="宋体" w:eastAsia="宋体" w:hAnsi="宋体" w:hint="eastAsia"/>
          <w:b/>
          <w:szCs w:val="21"/>
        </w:rPr>
        <w:t>关键信息</w:t>
      </w:r>
    </w:p>
    <w:p>
      <w:pPr>
        <w:spacing w:line="360" w:lineRule="auto"/>
        <w:ind w:left="630" w:firstLine="412" w:leftChars="300" w:firstLineChars="196"/>
        <w:outlineLvl w:val="0"/>
        <w:rPr>
          <w:rFonts w:ascii="宋体" w:eastAsia="宋体" w:hAnsi="宋体"/>
          <w:szCs w:val="21"/>
        </w:rPr>
      </w:pPr>
      <w:r>
        <w:rPr>
          <w:rFonts w:ascii="宋体" w:eastAsia="宋体" w:hAnsi="宋体" w:hint="eastAsia"/>
          <w:szCs w:val="21"/>
        </w:rPr>
        <w:t>第一章  招标公告</w:t>
      </w:r>
    </w:p>
    <w:p>
      <w:pPr>
        <w:spacing w:line="360" w:lineRule="auto"/>
        <w:ind w:left="630" w:firstLine="412" w:leftChars="300" w:firstLineChars="196"/>
        <w:outlineLvl w:val="0"/>
        <w:rPr>
          <w:rFonts w:ascii="宋体" w:eastAsia="宋体" w:hAnsi="宋体"/>
          <w:szCs w:val="21"/>
        </w:rPr>
      </w:pPr>
      <w:r>
        <w:rPr>
          <w:rFonts w:ascii="宋体" w:eastAsia="宋体" w:hAnsi="宋体" w:hint="eastAsia"/>
          <w:szCs w:val="21"/>
        </w:rPr>
        <w:t>第二章  对通用条款的补充内容及其他关键信息</w:t>
      </w:r>
    </w:p>
    <w:p>
      <w:pPr>
        <w:spacing w:line="360" w:lineRule="auto"/>
        <w:ind w:left="630" w:firstLine="412" w:leftChars="300" w:firstLineChars="196"/>
        <w:outlineLvl w:val="0"/>
        <w:rPr>
          <w:rFonts w:ascii="宋体" w:eastAsia="宋体" w:hAnsi="宋体"/>
          <w:szCs w:val="21"/>
        </w:rPr>
      </w:pPr>
      <w:r>
        <w:rPr>
          <w:rFonts w:ascii="宋体" w:eastAsia="宋体" w:hAnsi="宋体" w:hint="eastAsia"/>
          <w:szCs w:val="21"/>
        </w:rPr>
        <w:t>第三章  用户需求书</w:t>
      </w:r>
    </w:p>
    <w:p>
      <w:pPr>
        <w:spacing w:line="360" w:lineRule="auto"/>
        <w:ind w:left="630" w:firstLine="412" w:leftChars="300" w:firstLineChars="196"/>
        <w:outlineLvl w:val="0"/>
        <w:rPr>
          <w:rFonts w:ascii="宋体" w:eastAsia="宋体" w:hAnsi="宋体"/>
          <w:szCs w:val="21"/>
        </w:rPr>
      </w:pPr>
      <w:r>
        <w:rPr>
          <w:rFonts w:ascii="宋体" w:eastAsia="宋体" w:hAnsi="宋体" w:hint="eastAsia"/>
          <w:szCs w:val="21"/>
        </w:rPr>
        <w:t>第四章  投标文件格式及附件</w:t>
      </w:r>
    </w:p>
    <w:p>
      <w:pPr>
        <w:spacing w:line="360" w:lineRule="auto"/>
        <w:ind w:left="630" w:firstLine="412" w:leftChars="300" w:firstLineChars="196"/>
        <w:outlineLvl w:val="0"/>
        <w:rPr>
          <w:rFonts w:ascii="宋体" w:eastAsia="宋体" w:hAnsi="宋体"/>
          <w:szCs w:val="21"/>
        </w:rPr>
      </w:pPr>
      <w:r>
        <w:rPr>
          <w:rFonts w:ascii="宋体" w:eastAsia="宋体" w:hAnsi="宋体" w:hint="eastAsia"/>
          <w:szCs w:val="21"/>
        </w:rPr>
        <w:t>第五章  合同条款及格式</w:t>
      </w:r>
    </w:p>
    <w:p>
      <w:pPr>
        <w:spacing w:line="360" w:lineRule="auto"/>
        <w:ind w:left="420" w:firstLine="412" w:leftChars="200" w:firstLineChars="196"/>
        <w:outlineLvl w:val="0"/>
        <w:rPr>
          <w:rFonts w:ascii="宋体" w:eastAsia="宋体" w:hAnsi="宋体"/>
          <w:b/>
          <w:szCs w:val="21"/>
        </w:rPr>
      </w:pPr>
      <w:r>
        <w:rPr>
          <w:rFonts w:ascii="宋体" w:eastAsia="宋体" w:hAnsi="宋体" w:hint="eastAsia"/>
          <w:b/>
          <w:szCs w:val="21"/>
        </w:rPr>
        <w:t>第二册  通用条款</w:t>
      </w:r>
    </w:p>
    <w:p>
      <w:pPr>
        <w:spacing w:line="360" w:lineRule="auto"/>
        <w:ind w:left="630" w:firstLine="412" w:leftChars="300" w:firstLineChars="196"/>
        <w:outlineLvl w:val="0"/>
        <w:rPr>
          <w:rFonts w:ascii="宋体" w:eastAsia="宋体" w:hAnsi="宋体"/>
          <w:szCs w:val="21"/>
        </w:rPr>
      </w:pPr>
      <w:r>
        <w:rPr>
          <w:rFonts w:ascii="宋体" w:eastAsia="宋体" w:hAnsi="宋体" w:hint="eastAsia"/>
          <w:szCs w:val="21"/>
        </w:rPr>
        <w:t>第一章  总则</w:t>
      </w:r>
    </w:p>
    <w:p>
      <w:pPr>
        <w:spacing w:line="360" w:lineRule="auto"/>
        <w:ind w:left="630" w:firstLine="412" w:leftChars="300" w:firstLineChars="196"/>
        <w:outlineLvl w:val="0"/>
        <w:rPr>
          <w:rFonts w:ascii="宋体" w:eastAsia="宋体" w:hAnsi="宋体"/>
          <w:szCs w:val="21"/>
        </w:rPr>
      </w:pPr>
      <w:r>
        <w:rPr>
          <w:rFonts w:ascii="宋体" w:eastAsia="宋体" w:hAnsi="宋体" w:hint="eastAsia"/>
          <w:szCs w:val="21"/>
        </w:rPr>
        <w:t>第二章  招标文件</w:t>
      </w:r>
    </w:p>
    <w:p>
      <w:pPr>
        <w:spacing w:line="360" w:lineRule="auto"/>
        <w:ind w:left="630" w:firstLine="412" w:leftChars="300" w:firstLineChars="196"/>
        <w:outlineLvl w:val="0"/>
        <w:rPr>
          <w:rFonts w:ascii="宋体" w:eastAsia="宋体" w:hAnsi="宋体"/>
          <w:szCs w:val="21"/>
        </w:rPr>
      </w:pPr>
      <w:r>
        <w:rPr>
          <w:rFonts w:ascii="宋体" w:eastAsia="宋体" w:hAnsi="宋体" w:hint="eastAsia"/>
          <w:szCs w:val="21"/>
        </w:rPr>
        <w:t>第三章  投标文件的编制</w:t>
      </w:r>
    </w:p>
    <w:p>
      <w:pPr>
        <w:spacing w:line="360" w:lineRule="auto"/>
        <w:ind w:left="630" w:firstLine="412" w:leftChars="300" w:firstLineChars="196"/>
        <w:outlineLvl w:val="0"/>
        <w:rPr>
          <w:rFonts w:ascii="宋体" w:eastAsia="宋体" w:hAnsi="宋体"/>
          <w:szCs w:val="21"/>
        </w:rPr>
      </w:pPr>
      <w:r>
        <w:rPr>
          <w:rFonts w:ascii="宋体" w:eastAsia="宋体" w:hAnsi="宋体" w:hint="eastAsia"/>
          <w:szCs w:val="21"/>
        </w:rPr>
        <w:t>第四章  投标文件的递交</w:t>
      </w:r>
    </w:p>
    <w:p>
      <w:pPr>
        <w:spacing w:line="360" w:lineRule="auto"/>
        <w:ind w:left="630" w:firstLine="412" w:leftChars="300" w:firstLineChars="196"/>
        <w:outlineLvl w:val="0"/>
        <w:rPr>
          <w:rFonts w:ascii="宋体" w:eastAsia="宋体" w:hAnsi="宋体"/>
          <w:szCs w:val="21"/>
        </w:rPr>
      </w:pPr>
      <w:r>
        <w:rPr>
          <w:rFonts w:ascii="宋体" w:eastAsia="宋体" w:hAnsi="宋体" w:hint="eastAsia"/>
          <w:szCs w:val="21"/>
        </w:rPr>
        <w:t>第五章  开标</w:t>
      </w:r>
    </w:p>
    <w:p>
      <w:pPr>
        <w:spacing w:line="360" w:lineRule="auto"/>
        <w:ind w:left="630" w:firstLine="412" w:leftChars="300" w:firstLineChars="196"/>
        <w:outlineLvl w:val="0"/>
        <w:rPr>
          <w:rFonts w:ascii="宋体" w:eastAsia="宋体" w:hAnsi="宋体"/>
          <w:szCs w:val="21"/>
        </w:rPr>
      </w:pPr>
      <w:r>
        <w:rPr>
          <w:rFonts w:ascii="宋体" w:eastAsia="宋体" w:hAnsi="宋体" w:hint="eastAsia"/>
          <w:szCs w:val="21"/>
        </w:rPr>
        <w:t>第六章  评审要求</w:t>
      </w:r>
    </w:p>
    <w:p>
      <w:pPr>
        <w:spacing w:line="360" w:lineRule="auto"/>
        <w:ind w:left="630" w:firstLine="412" w:leftChars="300" w:firstLineChars="196"/>
        <w:outlineLvl w:val="0"/>
        <w:rPr>
          <w:rFonts w:ascii="宋体" w:eastAsia="宋体" w:hAnsi="宋体"/>
          <w:szCs w:val="21"/>
        </w:rPr>
      </w:pPr>
      <w:r>
        <w:rPr>
          <w:rFonts w:ascii="宋体" w:eastAsia="宋体" w:hAnsi="宋体" w:hint="eastAsia"/>
          <w:szCs w:val="21"/>
        </w:rPr>
        <w:t>第七章  评审程序及评审方法</w:t>
      </w:r>
    </w:p>
    <w:p>
      <w:pPr>
        <w:spacing w:line="360" w:lineRule="auto"/>
        <w:ind w:left="630" w:firstLine="412" w:leftChars="300" w:firstLineChars="196"/>
        <w:outlineLvl w:val="0"/>
        <w:rPr>
          <w:rFonts w:ascii="宋体" w:eastAsia="宋体" w:hAnsi="宋体"/>
          <w:szCs w:val="21"/>
        </w:rPr>
      </w:pPr>
      <w:r>
        <w:rPr>
          <w:rFonts w:ascii="宋体" w:eastAsia="宋体" w:hAnsi="宋体" w:hint="eastAsia"/>
          <w:szCs w:val="21"/>
        </w:rPr>
        <w:t>第八章  定标及公示</w:t>
      </w:r>
    </w:p>
    <w:p>
      <w:pPr>
        <w:spacing w:line="360" w:lineRule="auto"/>
        <w:ind w:left="630" w:firstLine="412" w:leftChars="300" w:firstLineChars="196"/>
        <w:outlineLvl w:val="0"/>
        <w:rPr>
          <w:rFonts w:ascii="宋体" w:eastAsia="宋体" w:hAnsi="宋体"/>
          <w:szCs w:val="21"/>
        </w:rPr>
      </w:pPr>
      <w:r>
        <w:rPr>
          <w:rFonts w:ascii="宋体" w:eastAsia="宋体" w:hAnsi="宋体" w:hint="eastAsia"/>
          <w:szCs w:val="21"/>
        </w:rPr>
        <w:t>第九章  公开招标失败的后续处理</w:t>
      </w:r>
    </w:p>
    <w:p>
      <w:pPr>
        <w:spacing w:line="360" w:lineRule="auto"/>
        <w:ind w:left="630" w:firstLine="412" w:leftChars="300" w:firstLineChars="196"/>
        <w:outlineLvl w:val="0"/>
        <w:rPr>
          <w:rFonts w:ascii="宋体" w:eastAsia="宋体" w:hAnsi="宋体"/>
          <w:szCs w:val="21"/>
        </w:rPr>
      </w:pPr>
      <w:r>
        <w:rPr>
          <w:rFonts w:ascii="宋体" w:eastAsia="宋体" w:hAnsi="宋体" w:hint="eastAsia"/>
          <w:szCs w:val="21"/>
        </w:rPr>
        <w:t>第十章  合同的授予与备案</w:t>
      </w:r>
    </w:p>
    <w:p>
      <w:pPr>
        <w:spacing w:line="360" w:lineRule="auto"/>
        <w:ind w:left="630" w:firstLine="412" w:leftChars="300" w:firstLineChars="196"/>
        <w:outlineLvl w:val="0"/>
        <w:rPr>
          <w:rFonts w:ascii="宋体" w:eastAsia="宋体" w:hAnsi="宋体"/>
          <w:szCs w:val="21"/>
        </w:rPr>
      </w:pPr>
      <w:r>
        <w:rPr>
          <w:rFonts w:ascii="宋体" w:eastAsia="宋体" w:hAnsi="宋体" w:hint="eastAsia"/>
          <w:szCs w:val="21"/>
        </w:rPr>
        <w:t>第十一章  质疑处理</w:t>
      </w:r>
    </w:p>
    <w:p>
      <w:pPr>
        <w:spacing w:line="360" w:lineRule="auto"/>
        <w:ind w:firstLine="412" w:firstLineChars="196"/>
        <w:rPr>
          <w:rFonts w:ascii="宋体" w:eastAsia="宋体" w:hAnsi="宋体"/>
          <w:szCs w:val="21"/>
        </w:rPr>
      </w:pPr>
      <w:r>
        <w:rPr>
          <w:rFonts w:ascii="宋体" w:eastAsia="宋体" w:hAnsi="宋体" w:hint="eastAsia"/>
          <w:szCs w:val="21"/>
        </w:rPr>
        <w:t>1</w:t>
      </w:r>
      <w:r>
        <w:rPr>
          <w:rFonts w:ascii="宋体" w:eastAsia="宋体" w:hAnsi="宋体"/>
          <w:szCs w:val="21"/>
        </w:rPr>
        <w:t>1</w:t>
      </w:r>
      <w:r>
        <w:rPr>
          <w:rFonts w:ascii="宋体" w:eastAsia="宋体" w:hAnsi="宋体" w:hint="eastAsia"/>
          <w:szCs w:val="21"/>
        </w:rPr>
        <w:t>.2 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spacing w:line="360" w:lineRule="auto"/>
        <w:ind w:firstLine="412" w:firstLineChars="196"/>
        <w:rPr>
          <w:rFonts w:ascii="宋体" w:eastAsia="宋体" w:hAnsi="宋体"/>
          <w:szCs w:val="21"/>
        </w:rPr>
      </w:pPr>
      <w:r>
        <w:rPr>
          <w:rFonts w:ascii="宋体" w:eastAsia="宋体" w:hAnsi="宋体" w:hint="eastAsia"/>
          <w:szCs w:val="21"/>
        </w:rPr>
        <w:t>1</w:t>
      </w:r>
      <w:r>
        <w:rPr>
          <w:rFonts w:ascii="宋体" w:eastAsia="宋体" w:hAnsi="宋体"/>
          <w:szCs w:val="21"/>
        </w:rPr>
        <w:t>1</w:t>
      </w:r>
      <w:r>
        <w:rPr>
          <w:rFonts w:ascii="宋体" w:eastAsia="宋体" w:hAnsi="宋体" w:hint="eastAsia"/>
          <w:szCs w:val="21"/>
        </w:rPr>
        <w:t>.3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spacing w:line="360" w:lineRule="auto"/>
        <w:rPr>
          <w:rFonts w:ascii="宋体" w:eastAsia="宋体" w:hAnsi="宋体"/>
          <w:b/>
          <w:bCs/>
          <w:szCs w:val="21"/>
        </w:rPr>
      </w:pPr>
      <w:r>
        <w:rPr>
          <w:rFonts w:ascii="宋体" w:eastAsia="宋体" w:hAnsi="宋体" w:hint="eastAsia"/>
          <w:b/>
          <w:bCs/>
          <w:szCs w:val="21"/>
        </w:rPr>
        <w:t>1</w:t>
      </w:r>
      <w:r>
        <w:rPr>
          <w:rFonts w:ascii="宋体" w:eastAsia="宋体" w:hAnsi="宋体"/>
          <w:b/>
          <w:bCs/>
          <w:szCs w:val="21"/>
        </w:rPr>
        <w:t>2</w:t>
      </w:r>
      <w:r>
        <w:rPr>
          <w:rFonts w:ascii="宋体" w:eastAsia="宋体" w:hAnsi="宋体" w:hint="eastAsia"/>
          <w:b/>
          <w:bCs/>
          <w:szCs w:val="21"/>
        </w:rPr>
        <w:t>．招标文件的澄清</w:t>
      </w:r>
    </w:p>
    <w:p>
      <w:pPr>
        <w:spacing w:line="360" w:lineRule="auto"/>
        <w:ind w:firstLine="412" w:firstLineChars="196"/>
        <w:rPr>
          <w:rFonts w:ascii="宋体" w:eastAsia="宋体" w:hAnsi="宋体"/>
          <w:szCs w:val="21"/>
        </w:rPr>
      </w:pPr>
      <w:r>
        <w:rPr>
          <w:rFonts w:ascii="宋体" w:eastAsia="宋体" w:hAnsi="宋体" w:hint="eastAsia"/>
          <w:szCs w:val="21"/>
        </w:rPr>
        <w:t>1</w:t>
      </w:r>
      <w:r>
        <w:rPr>
          <w:rFonts w:ascii="宋体" w:eastAsia="宋体" w:hAnsi="宋体"/>
          <w:szCs w:val="21"/>
        </w:rPr>
        <w:t>2</w:t>
      </w:r>
      <w:r>
        <w:rPr>
          <w:rFonts w:ascii="宋体" w:eastAsia="宋体" w:hAnsi="宋体" w:hint="eastAsia"/>
          <w:szCs w:val="21"/>
        </w:rPr>
        <w:t>.1招标文件澄清的目的是澄清、解答投标人在查阅招标文件后或现场踏勘中可能提出的与投标有关的疑问或询问。</w:t>
      </w:r>
    </w:p>
    <w:p>
      <w:pPr>
        <w:spacing w:line="360" w:lineRule="auto"/>
        <w:ind w:firstLine="412" w:firstLineChars="196"/>
        <w:rPr>
          <w:rFonts w:ascii="宋体" w:eastAsia="宋体" w:hAnsi="宋体"/>
          <w:szCs w:val="21"/>
        </w:rPr>
      </w:pPr>
      <w:r>
        <w:rPr>
          <w:rFonts w:ascii="宋体" w:eastAsia="宋体" w:hAnsi="宋体" w:hint="eastAsia"/>
          <w:szCs w:val="21"/>
        </w:rPr>
        <w:t>1</w:t>
      </w:r>
      <w:r>
        <w:rPr>
          <w:rFonts w:ascii="宋体" w:eastAsia="宋体" w:hAnsi="宋体"/>
          <w:szCs w:val="21"/>
        </w:rPr>
        <w:t>2</w:t>
      </w:r>
      <w:r>
        <w:rPr>
          <w:rFonts w:ascii="宋体" w:eastAsia="宋体" w:hAnsi="宋体" w:hint="eastAsia"/>
          <w:szCs w:val="21"/>
        </w:rPr>
        <w:t>.2投标人如对招标文件内容有疑问，应当在招标公告规定的澄清（提问）截止时间前以网上提问的形式通过网上政府采购系统提交采购代理机构。</w:t>
      </w:r>
    </w:p>
    <w:p>
      <w:pPr>
        <w:spacing w:line="360" w:lineRule="auto"/>
        <w:ind w:firstLine="412" w:firstLineChars="196"/>
        <w:rPr>
          <w:rFonts w:ascii="宋体" w:eastAsia="宋体" w:hAnsi="宋体"/>
          <w:szCs w:val="21"/>
        </w:rPr>
      </w:pPr>
      <w:r>
        <w:rPr>
          <w:rFonts w:ascii="宋体" w:eastAsia="宋体" w:hAnsi="宋体" w:hint="eastAsia"/>
          <w:szCs w:val="21"/>
        </w:rPr>
        <w:t>1</w:t>
      </w:r>
      <w:r>
        <w:rPr>
          <w:rFonts w:ascii="宋体" w:eastAsia="宋体" w:hAnsi="宋体"/>
          <w:szCs w:val="21"/>
        </w:rPr>
        <w:t>2</w:t>
      </w:r>
      <w:r>
        <w:rPr>
          <w:rFonts w:ascii="宋体" w:eastAsia="宋体" w:hAnsi="宋体" w:hint="eastAsia"/>
          <w:szCs w:val="21"/>
        </w:rPr>
        <w:t>.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w:t>
      </w:r>
      <w:r>
        <w:rPr>
          <w:rFonts w:ascii="宋体" w:eastAsia="宋体" w:hAnsi="宋体"/>
          <w:szCs w:val="21"/>
        </w:rPr>
        <w:t>3.3</w:t>
      </w:r>
      <w:r>
        <w:rPr>
          <w:rFonts w:ascii="宋体" w:eastAsia="宋体" w:hAnsi="宋体" w:hint="eastAsia"/>
          <w:szCs w:val="21"/>
        </w:rPr>
        <w:t>、1</w:t>
      </w:r>
      <w:r>
        <w:rPr>
          <w:rFonts w:ascii="宋体" w:eastAsia="宋体" w:hAnsi="宋体"/>
          <w:szCs w:val="21"/>
        </w:rPr>
        <w:t>3.4</w:t>
      </w:r>
      <w:r>
        <w:rPr>
          <w:rFonts w:ascii="宋体" w:eastAsia="宋体" w:hAnsi="宋体" w:hint="eastAsia"/>
          <w:szCs w:val="21"/>
        </w:rPr>
        <w:t>款规定执行。</w:t>
      </w:r>
    </w:p>
    <w:p>
      <w:pPr>
        <w:spacing w:line="360" w:lineRule="auto"/>
        <w:rPr>
          <w:rFonts w:ascii="宋体" w:eastAsia="宋体" w:hAnsi="宋体"/>
          <w:b/>
          <w:bCs/>
          <w:szCs w:val="21"/>
        </w:rPr>
      </w:pPr>
      <w:r>
        <w:rPr>
          <w:rFonts w:ascii="宋体" w:eastAsia="宋体" w:hAnsi="宋体"/>
          <w:b/>
          <w:bCs/>
          <w:szCs w:val="21"/>
        </w:rPr>
        <w:t>1</w:t>
      </w:r>
      <w:r>
        <w:rPr>
          <w:rFonts w:ascii="宋体" w:eastAsia="宋体" w:hAnsi="宋体" w:hint="eastAsia"/>
          <w:b/>
          <w:bCs/>
          <w:szCs w:val="21"/>
        </w:rPr>
        <w:t>3．招标文件的修改</w:t>
      </w:r>
    </w:p>
    <w:p>
      <w:pPr>
        <w:spacing w:line="360" w:lineRule="auto"/>
        <w:ind w:firstLine="412" w:firstLineChars="196"/>
        <w:rPr>
          <w:rFonts w:ascii="宋体" w:eastAsia="宋体" w:hAnsi="宋体"/>
          <w:szCs w:val="21"/>
        </w:rPr>
      </w:pPr>
      <w:r>
        <w:rPr>
          <w:rFonts w:ascii="宋体" w:eastAsia="宋体" w:hAnsi="宋体"/>
          <w:szCs w:val="21"/>
        </w:rPr>
        <w:t>1</w:t>
      </w:r>
      <w:r>
        <w:rPr>
          <w:rFonts w:ascii="宋体" w:eastAsia="宋体" w:hAnsi="宋体" w:hint="eastAsia"/>
          <w:szCs w:val="21"/>
        </w:rPr>
        <w:t>3.1招标文件发出后，在投标截止日期前任何时候，确需要变更招标文件内容的，采购代理机构可主动或在解答投标人提出的澄清问题时对招标文件进行修改。</w:t>
      </w:r>
    </w:p>
    <w:p>
      <w:pPr>
        <w:spacing w:line="360" w:lineRule="auto"/>
        <w:ind w:firstLine="412" w:firstLineChars="196"/>
        <w:rPr>
          <w:rFonts w:ascii="宋体" w:eastAsia="宋体" w:hAnsi="宋体"/>
          <w:szCs w:val="21"/>
        </w:rPr>
      </w:pPr>
      <w:r>
        <w:rPr>
          <w:rFonts w:ascii="宋体" w:eastAsia="宋体" w:hAnsi="宋体"/>
          <w:szCs w:val="21"/>
        </w:rPr>
        <w:t>1</w:t>
      </w:r>
      <w:r>
        <w:rPr>
          <w:rFonts w:ascii="宋体" w:eastAsia="宋体" w:hAnsi="宋体" w:hint="eastAsia"/>
          <w:szCs w:val="21"/>
        </w:rPr>
        <w:t>3.2招标文件的修改以书面形式（包括采购代理机构网站发布方式，如更正公告等）发送给所有投标人，招标文件的修改内容作为招标文件的组成部分，并具有约束力。</w:t>
      </w:r>
    </w:p>
    <w:p>
      <w:pPr>
        <w:spacing w:line="360" w:lineRule="auto"/>
        <w:ind w:firstLine="412" w:firstLineChars="196"/>
        <w:rPr>
          <w:rFonts w:ascii="宋体" w:eastAsia="宋体" w:hAnsi="宋体"/>
          <w:szCs w:val="21"/>
        </w:rPr>
      </w:pPr>
      <w:r>
        <w:rPr>
          <w:rFonts w:ascii="宋体" w:eastAsia="宋体" w:hAnsi="宋体"/>
          <w:szCs w:val="21"/>
        </w:rPr>
        <w:t>1</w:t>
      </w:r>
      <w:r>
        <w:rPr>
          <w:rFonts w:ascii="宋体" w:eastAsia="宋体" w:hAnsi="宋体" w:hint="eastAsia"/>
          <w:szCs w:val="21"/>
        </w:rPr>
        <w:t>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pPr>
        <w:spacing w:line="360" w:lineRule="auto"/>
        <w:ind w:firstLine="412" w:firstLineChars="196"/>
        <w:rPr>
          <w:rFonts w:ascii="宋体" w:eastAsia="宋体" w:hAnsi="宋体"/>
          <w:szCs w:val="21"/>
        </w:rPr>
      </w:pPr>
      <w:r>
        <w:rPr>
          <w:rFonts w:ascii="宋体" w:eastAsia="宋体" w:hAnsi="宋体"/>
          <w:szCs w:val="21"/>
        </w:rPr>
        <w:t>1</w:t>
      </w:r>
      <w:r>
        <w:rPr>
          <w:rFonts w:ascii="宋体" w:eastAsia="宋体" w:hAnsi="宋体" w:hint="eastAsia"/>
          <w:szCs w:val="21"/>
        </w:rPr>
        <w:t>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31"/>
    </w:p>
    <w:p>
      <w:pPr>
        <w:keepNext/>
        <w:keepLines/>
        <w:widowControl/>
        <w:numPr>
          <w:ilvl w:val="0"/>
          <w:numId w:val="2"/>
        </w:numPr>
        <w:adjustRightInd w:val="0"/>
        <w:spacing w:before="156" w:beforeLines="50" w:after="156" w:afterLines="50" w:line="360" w:lineRule="auto"/>
        <w:ind w:left="562" w:hanging="562"/>
        <w:jc w:val="center"/>
        <w:textAlignment w:val="baseline"/>
        <w:outlineLvl w:val="1"/>
        <w:rPr>
          <w:rFonts w:ascii="宋体" w:eastAsia="宋体" w:hAnsi="宋体"/>
          <w:b/>
          <w:bCs/>
          <w:kern w:val="0"/>
          <w:sz w:val="28"/>
          <w:szCs w:val="28"/>
        </w:rPr>
      </w:pPr>
      <w:r>
        <w:rPr>
          <w:rFonts w:ascii="宋体" w:eastAsia="宋体" w:hAnsi="宋体" w:hint="eastAsia"/>
          <w:b/>
          <w:bCs/>
          <w:kern w:val="0"/>
          <w:sz w:val="28"/>
          <w:szCs w:val="28"/>
        </w:rPr>
        <w:t>投标文件的编制</w:t>
      </w:r>
    </w:p>
    <w:p>
      <w:pPr>
        <w:spacing w:line="360" w:lineRule="auto"/>
        <w:rPr>
          <w:rFonts w:ascii="宋体" w:eastAsia="宋体" w:hAnsi="宋体"/>
          <w:b/>
          <w:bCs/>
          <w:szCs w:val="21"/>
        </w:rPr>
      </w:pPr>
      <w:r>
        <w:rPr>
          <w:rFonts w:ascii="宋体" w:eastAsia="宋体" w:hAnsi="宋体" w:hint="eastAsia"/>
          <w:b/>
          <w:bCs/>
          <w:szCs w:val="21"/>
        </w:rPr>
        <w:t>14．</w:t>
      </w:r>
      <w:bookmarkStart w:id="32" w:name="_Hlk72400236"/>
      <w:r>
        <w:rPr>
          <w:rFonts w:ascii="宋体" w:eastAsia="宋体" w:hAnsi="宋体" w:hint="eastAsia"/>
          <w:b/>
          <w:bCs/>
          <w:szCs w:val="21"/>
        </w:rPr>
        <w:t>投标文件的语言及度量单位</w:t>
      </w:r>
    </w:p>
    <w:p>
      <w:pPr>
        <w:spacing w:line="360" w:lineRule="auto"/>
        <w:ind w:firstLine="412" w:firstLineChars="196"/>
        <w:rPr>
          <w:rFonts w:ascii="宋体" w:eastAsia="宋体" w:hAnsi="宋体"/>
          <w:szCs w:val="21"/>
        </w:rPr>
      </w:pPr>
      <w:r>
        <w:rPr>
          <w:rFonts w:ascii="宋体" w:eastAsia="宋体" w:hAnsi="宋体" w:hint="eastAsia"/>
          <w:szCs w:val="21"/>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spacing w:line="360" w:lineRule="auto"/>
        <w:ind w:firstLine="412" w:firstLineChars="196"/>
        <w:rPr>
          <w:rFonts w:ascii="宋体" w:eastAsia="宋体" w:hAnsi="宋体"/>
          <w:szCs w:val="21"/>
        </w:rPr>
      </w:pPr>
      <w:r>
        <w:rPr>
          <w:rFonts w:ascii="宋体" w:eastAsia="宋体" w:hAnsi="宋体" w:hint="eastAsia"/>
          <w:szCs w:val="21"/>
        </w:rPr>
        <w:t>14.2 除技术规范另有规定外，投标文件使用的度量单位，均采用中华人民共和国法定计量单位。</w:t>
      </w:r>
    </w:p>
    <w:p>
      <w:pPr>
        <w:spacing w:line="360" w:lineRule="auto"/>
        <w:rPr>
          <w:rFonts w:ascii="宋体" w:eastAsia="宋体" w:hAnsi="宋体"/>
          <w:b/>
          <w:bCs/>
          <w:szCs w:val="21"/>
        </w:rPr>
      </w:pPr>
      <w:bookmarkEnd w:id="32"/>
      <w:r>
        <w:rPr>
          <w:rFonts w:ascii="宋体" w:eastAsia="宋体" w:hAnsi="宋体" w:hint="eastAsia"/>
          <w:b/>
          <w:bCs/>
          <w:szCs w:val="21"/>
        </w:rPr>
        <w:t>15．</w:t>
      </w:r>
      <w:bookmarkStart w:id="33" w:name="_Hlk72401567"/>
      <w:r>
        <w:rPr>
          <w:rFonts w:ascii="宋体" w:eastAsia="宋体" w:hAnsi="宋体" w:hint="eastAsia"/>
          <w:b/>
          <w:bCs/>
          <w:szCs w:val="21"/>
        </w:rPr>
        <w:t>投标文件的组成</w:t>
      </w:r>
    </w:p>
    <w:p>
      <w:pPr>
        <w:spacing w:line="360" w:lineRule="auto"/>
        <w:ind w:firstLine="412" w:firstLineChars="196"/>
        <w:rPr>
          <w:rFonts w:ascii="宋体" w:eastAsia="宋体" w:hAnsi="宋体"/>
          <w:szCs w:val="21"/>
        </w:rPr>
      </w:pPr>
      <w:r>
        <w:rPr>
          <w:rFonts w:ascii="宋体" w:eastAsia="宋体" w:hAnsi="宋体" w:hint="eastAsia"/>
          <w:szCs w:val="21"/>
        </w:rPr>
        <w:t>具体内容在招标文件专用条款中进行规定。</w:t>
      </w:r>
    </w:p>
    <w:p>
      <w:pPr>
        <w:spacing w:line="360" w:lineRule="auto"/>
        <w:rPr>
          <w:rFonts w:ascii="宋体" w:eastAsia="宋体" w:hAnsi="宋体"/>
          <w:b/>
          <w:bCs/>
          <w:szCs w:val="21"/>
        </w:rPr>
      </w:pPr>
      <w:r>
        <w:rPr>
          <w:rFonts w:ascii="宋体" w:eastAsia="宋体" w:hAnsi="宋体"/>
          <w:b/>
          <w:bCs/>
          <w:szCs w:val="21"/>
        </w:rPr>
        <w:t>16．投标文件格式</w:t>
      </w:r>
    </w:p>
    <w:p>
      <w:pPr>
        <w:spacing w:line="360" w:lineRule="auto"/>
        <w:ind w:firstLine="412" w:firstLineChars="196"/>
        <w:rPr>
          <w:rFonts w:ascii="宋体" w:eastAsia="宋体" w:hAnsi="宋体"/>
          <w:szCs w:val="21"/>
        </w:rPr>
      </w:pPr>
      <w:r>
        <w:rPr>
          <w:rFonts w:ascii="宋体" w:eastAsia="宋体" w:hAnsi="宋体" w:hint="eastAsia"/>
          <w:szCs w:val="21"/>
        </w:rPr>
        <w:t>投标文件包括本通用条款第</w:t>
      </w:r>
      <w:r>
        <w:rPr>
          <w:rFonts w:ascii="宋体" w:eastAsia="宋体" w:hAnsi="宋体"/>
          <w:szCs w:val="21"/>
        </w:rPr>
        <w:t>15条中规定的内容。如招标文件提供了投标文件格式，则</w:t>
      </w:r>
      <w:r>
        <w:rPr>
          <w:rFonts w:ascii="宋体" w:eastAsia="宋体" w:hAnsi="宋体" w:hint="eastAsia"/>
          <w:b/>
          <w:bCs/>
          <w:szCs w:val="21"/>
        </w:rPr>
        <w:t>投标人提交的投标文件应使用招标文件所提供的相应格式</w:t>
      </w:r>
      <w:r>
        <w:rPr>
          <w:rFonts w:ascii="宋体" w:eastAsia="宋体" w:hAnsi="宋体" w:hint="eastAsia"/>
          <w:szCs w:val="21"/>
        </w:rPr>
        <w:t>（表格均可按同样格式扩展）。</w:t>
      </w:r>
    </w:p>
    <w:p>
      <w:pPr>
        <w:spacing w:line="360" w:lineRule="auto"/>
        <w:rPr>
          <w:rFonts w:ascii="宋体" w:eastAsia="宋体" w:hAnsi="宋体"/>
          <w:b/>
          <w:bCs/>
          <w:szCs w:val="21"/>
        </w:rPr>
      </w:pPr>
      <w:r>
        <w:rPr>
          <w:rFonts w:ascii="宋体" w:eastAsia="宋体" w:hAnsi="宋体" w:hint="eastAsia"/>
          <w:b/>
          <w:bCs/>
          <w:szCs w:val="21"/>
        </w:rPr>
        <w:t>17．投标货币</w:t>
      </w:r>
    </w:p>
    <w:p>
      <w:pPr>
        <w:spacing w:line="360" w:lineRule="auto"/>
        <w:ind w:firstLine="412" w:firstLineChars="196"/>
        <w:rPr>
          <w:rFonts w:ascii="宋体" w:eastAsia="宋体" w:hAnsi="宋体"/>
          <w:szCs w:val="21"/>
        </w:rPr>
      </w:pPr>
      <w:r>
        <w:rPr>
          <w:rFonts w:ascii="宋体" w:eastAsia="宋体" w:hAnsi="宋体" w:hint="eastAsia"/>
          <w:szCs w:val="21"/>
        </w:rPr>
        <w:t>本项目的投标报价应以人民币计。</w:t>
      </w:r>
    </w:p>
    <w:p>
      <w:pPr>
        <w:spacing w:line="360" w:lineRule="auto"/>
        <w:rPr>
          <w:rFonts w:ascii="宋体" w:eastAsia="宋体" w:hAnsi="宋体"/>
          <w:b/>
          <w:bCs/>
          <w:szCs w:val="21"/>
        </w:rPr>
      </w:pPr>
      <w:bookmarkEnd w:id="33"/>
      <w:r>
        <w:rPr>
          <w:rFonts w:ascii="宋体" w:eastAsia="宋体" w:hAnsi="宋体" w:hint="eastAsia"/>
          <w:b/>
          <w:bCs/>
          <w:szCs w:val="21"/>
        </w:rPr>
        <w:t>18．</w:t>
      </w:r>
      <w:bookmarkStart w:id="34" w:name="_Hlk72401735"/>
      <w:r>
        <w:rPr>
          <w:rFonts w:ascii="宋体" w:eastAsia="宋体" w:hAnsi="宋体" w:hint="eastAsia"/>
          <w:b/>
          <w:bCs/>
          <w:szCs w:val="21"/>
        </w:rPr>
        <w:t>证明投标文件投标技术方案的合格性和符合招标文件规定的文件要求</w:t>
      </w:r>
    </w:p>
    <w:p>
      <w:pPr>
        <w:spacing w:line="360" w:lineRule="auto"/>
        <w:ind w:firstLine="412" w:firstLineChars="196"/>
        <w:rPr>
          <w:rFonts w:ascii="宋体" w:eastAsia="宋体" w:hAnsi="宋体"/>
          <w:szCs w:val="21"/>
        </w:rPr>
      </w:pPr>
      <w:r>
        <w:rPr>
          <w:rFonts w:ascii="宋体" w:eastAsia="宋体" w:hAnsi="宋体" w:hint="eastAsia"/>
          <w:szCs w:val="21"/>
        </w:rPr>
        <w:t>18</w:t>
      </w:r>
      <w:r>
        <w:rPr>
          <w:rFonts w:ascii="宋体" w:eastAsia="宋体" w:hAnsi="宋体"/>
          <w:szCs w:val="21"/>
        </w:rPr>
        <w:t xml:space="preserve">.1 </w:t>
      </w:r>
      <w:r>
        <w:rPr>
          <w:rFonts w:ascii="宋体" w:eastAsia="宋体" w:hAnsi="宋体" w:hint="eastAsia"/>
          <w:szCs w:val="21"/>
        </w:rPr>
        <w:t>投标人应提交证明文件，证明其投标技术方案项下的货物和服务的合格性符合招标文件规定。该投标技术方案及其证明文件均作为投标文件组成部分。</w:t>
      </w:r>
    </w:p>
    <w:p>
      <w:pPr>
        <w:spacing w:line="360" w:lineRule="auto"/>
        <w:ind w:firstLine="412" w:firstLineChars="196"/>
        <w:rPr>
          <w:rFonts w:ascii="宋体" w:eastAsia="宋体" w:hAnsi="宋体"/>
          <w:szCs w:val="21"/>
        </w:rPr>
      </w:pPr>
      <w:r>
        <w:rPr>
          <w:rFonts w:ascii="宋体" w:eastAsia="宋体" w:hAnsi="宋体"/>
          <w:szCs w:val="21"/>
        </w:rPr>
        <w:t>1</w:t>
      </w:r>
      <w:r>
        <w:rPr>
          <w:rFonts w:ascii="宋体" w:eastAsia="宋体" w:hAnsi="宋体" w:hint="eastAsia"/>
          <w:szCs w:val="21"/>
        </w:rPr>
        <w:t>8</w:t>
      </w:r>
      <w:r>
        <w:rPr>
          <w:rFonts w:ascii="宋体" w:eastAsia="宋体" w:hAnsi="宋体"/>
          <w:szCs w:val="21"/>
        </w:rPr>
        <w:t xml:space="preserve">.2 </w:t>
      </w:r>
      <w:r>
        <w:rPr>
          <w:rFonts w:ascii="宋体" w:eastAsia="宋体" w:hAnsi="宋体" w:hint="eastAsia"/>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spacing w:line="360" w:lineRule="auto"/>
        <w:ind w:firstLine="412" w:firstLineChars="196"/>
        <w:rPr>
          <w:rFonts w:ascii="宋体" w:eastAsia="宋体" w:hAnsi="宋体"/>
          <w:szCs w:val="21"/>
        </w:rPr>
      </w:pPr>
      <w:r>
        <w:rPr>
          <w:rFonts w:ascii="宋体" w:eastAsia="宋体" w:hAnsi="宋体" w:hint="eastAsia"/>
          <w:szCs w:val="21"/>
        </w:rPr>
        <w:t>18.2.1主要技术指标和性能的详细说明。</w:t>
      </w:r>
    </w:p>
    <w:p>
      <w:pPr>
        <w:spacing w:line="360" w:lineRule="auto"/>
        <w:ind w:firstLine="412" w:firstLineChars="196"/>
        <w:rPr>
          <w:rFonts w:ascii="宋体" w:eastAsia="宋体" w:hAnsi="宋体"/>
          <w:szCs w:val="21"/>
        </w:rPr>
      </w:pPr>
      <w:r>
        <w:rPr>
          <w:rFonts w:ascii="宋体" w:eastAsia="宋体" w:hAnsi="宋体" w:hint="eastAsia"/>
          <w:szCs w:val="21"/>
        </w:rPr>
        <w:t>18.2.</w:t>
      </w:r>
      <w:r>
        <w:rPr>
          <w:rFonts w:ascii="宋体" w:eastAsia="宋体" w:hAnsi="宋体"/>
          <w:szCs w:val="21"/>
        </w:rPr>
        <w:t>2</w:t>
      </w:r>
      <w:r>
        <w:rPr>
          <w:rFonts w:ascii="宋体" w:eastAsia="宋体" w:hAnsi="宋体" w:hint="eastAsia"/>
          <w:szCs w:val="21"/>
        </w:rPr>
        <w:t>投标产品从采购人开始使用至招标文件中规定的周期内正常、连续地使用所必须的备件和专用工具清单，包括备件和专用工具的货源及现行价格。</w:t>
      </w:r>
    </w:p>
    <w:p>
      <w:pPr>
        <w:spacing w:line="360" w:lineRule="auto"/>
        <w:ind w:firstLine="412" w:firstLineChars="196"/>
        <w:rPr>
          <w:rFonts w:ascii="宋体" w:eastAsia="宋体" w:hAnsi="宋体"/>
          <w:szCs w:val="21"/>
        </w:rPr>
      </w:pPr>
      <w:r>
        <w:rPr>
          <w:rFonts w:ascii="宋体" w:eastAsia="宋体" w:hAnsi="宋体" w:hint="eastAsia"/>
          <w:szCs w:val="21"/>
        </w:rPr>
        <w:t>18.2.</w:t>
      </w:r>
      <w:r>
        <w:rPr>
          <w:rFonts w:ascii="宋体" w:eastAsia="宋体" w:hAnsi="宋体"/>
          <w:szCs w:val="21"/>
        </w:rPr>
        <w:t>3</w:t>
      </w:r>
      <w:r>
        <w:rPr>
          <w:rFonts w:ascii="宋体" w:eastAsia="宋体" w:hAnsi="宋体" w:hint="eastAsia"/>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spacing w:line="360" w:lineRule="auto"/>
        <w:ind w:firstLine="412" w:firstLineChars="196"/>
        <w:rPr>
          <w:rFonts w:ascii="宋体" w:eastAsia="宋体" w:hAnsi="宋体"/>
          <w:szCs w:val="21"/>
        </w:rPr>
      </w:pPr>
      <w:r>
        <w:rPr>
          <w:rFonts w:ascii="宋体" w:eastAsia="宋体" w:hAnsi="宋体" w:hint="eastAsia"/>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pPr>
        <w:spacing w:line="360" w:lineRule="auto"/>
        <w:ind w:firstLine="412" w:firstLineChars="196"/>
        <w:rPr>
          <w:rFonts w:ascii="宋体" w:eastAsia="宋体" w:hAnsi="宋体"/>
          <w:szCs w:val="21"/>
        </w:rPr>
      </w:pPr>
      <w:r>
        <w:rPr>
          <w:rFonts w:ascii="宋体" w:eastAsia="宋体" w:hAnsi="宋体" w:hint="eastAsia"/>
          <w:szCs w:val="21"/>
        </w:rPr>
        <w:t>18.2.5我国政府机构出具的产品检验和核准证件应为证件正面、背面和附件标注的全部具体内容；产品检验和核准证件的尺寸和清晰度应该能够在电脑上被阅读、识别和判断，提供原件扫描件。</w:t>
      </w:r>
    </w:p>
    <w:p>
      <w:pPr>
        <w:spacing w:line="360" w:lineRule="auto"/>
        <w:ind w:firstLine="412" w:firstLineChars="196"/>
        <w:rPr>
          <w:rFonts w:ascii="宋体" w:eastAsia="宋体" w:hAnsi="宋体"/>
          <w:szCs w:val="21"/>
        </w:rPr>
      </w:pPr>
      <w:r>
        <w:rPr>
          <w:rFonts w:ascii="宋体" w:eastAsia="宋体" w:hAnsi="宋体" w:hint="eastAsia"/>
          <w:szCs w:val="21"/>
        </w:rPr>
        <w:t>18.3相关资料不符合18.2款要求的，评审委员会有权认定为投标技术方案不合格响应，其相关分数予以扣减或作投标无效处理。</w:t>
      </w:r>
    </w:p>
    <w:p>
      <w:pPr>
        <w:spacing w:line="360" w:lineRule="auto"/>
        <w:ind w:firstLine="412" w:firstLineChars="196"/>
        <w:rPr>
          <w:rFonts w:ascii="宋体" w:eastAsia="宋体" w:hAnsi="宋体"/>
          <w:szCs w:val="21"/>
        </w:rPr>
      </w:pPr>
      <w:r>
        <w:rPr>
          <w:rFonts w:ascii="宋体" w:eastAsia="宋体" w:hAnsi="宋体"/>
          <w:szCs w:val="21"/>
        </w:rPr>
        <w:t>1</w:t>
      </w:r>
      <w:r>
        <w:rPr>
          <w:rFonts w:ascii="宋体" w:eastAsia="宋体" w:hAnsi="宋体" w:hint="eastAsia"/>
          <w:szCs w:val="21"/>
        </w:rPr>
        <w:t>8</w:t>
      </w:r>
      <w:r>
        <w:rPr>
          <w:rFonts w:ascii="宋体" w:eastAsia="宋体" w:hAnsi="宋体"/>
          <w:szCs w:val="21"/>
        </w:rPr>
        <w:t>.</w:t>
      </w:r>
      <w:r>
        <w:rPr>
          <w:rFonts w:ascii="宋体" w:eastAsia="宋体" w:hAnsi="宋体" w:hint="eastAsia"/>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审委员会来评判。</w:t>
      </w:r>
    </w:p>
    <w:p>
      <w:pPr>
        <w:spacing w:line="360" w:lineRule="auto"/>
        <w:ind w:firstLine="412" w:firstLineChars="196"/>
        <w:rPr>
          <w:rFonts w:ascii="宋体" w:eastAsia="宋体" w:hAnsi="宋体"/>
          <w:szCs w:val="21"/>
        </w:rPr>
      </w:pPr>
      <w:r>
        <w:rPr>
          <w:rFonts w:ascii="宋体" w:eastAsia="宋体" w:hAnsi="宋体" w:hint="eastAsia"/>
          <w:szCs w:val="21"/>
        </w:rPr>
        <w:t>18.5除非另有规定或说明，投标人对同一项目投标时，不得同时提供两套或两套以上的投标方案。</w:t>
      </w:r>
    </w:p>
    <w:p>
      <w:pPr>
        <w:spacing w:line="360" w:lineRule="auto"/>
        <w:rPr>
          <w:rFonts w:ascii="宋体" w:eastAsia="宋体" w:hAnsi="宋体"/>
          <w:b/>
          <w:bCs/>
          <w:szCs w:val="21"/>
        </w:rPr>
      </w:pPr>
      <w:bookmarkEnd w:id="34"/>
      <w:r>
        <w:rPr>
          <w:rFonts w:ascii="宋体" w:eastAsia="宋体" w:hAnsi="宋体" w:hint="eastAsia"/>
          <w:b/>
          <w:bCs/>
          <w:szCs w:val="21"/>
        </w:rPr>
        <w:t>19．</w:t>
      </w:r>
      <w:bookmarkStart w:id="35" w:name="_Hlk72402034"/>
      <w:r>
        <w:rPr>
          <w:rFonts w:ascii="宋体" w:eastAsia="宋体" w:hAnsi="宋体" w:hint="eastAsia"/>
          <w:b/>
          <w:bCs/>
          <w:szCs w:val="21"/>
        </w:rPr>
        <w:t>投标文件其他证明文件的要求</w:t>
      </w:r>
    </w:p>
    <w:p>
      <w:pPr>
        <w:spacing w:line="360" w:lineRule="auto"/>
        <w:ind w:firstLine="420" w:firstLineChars="200"/>
        <w:rPr>
          <w:rFonts w:ascii="宋体" w:eastAsia="宋体" w:hAnsi="宋体"/>
          <w:szCs w:val="21"/>
        </w:rPr>
      </w:pPr>
      <w:r>
        <w:rPr>
          <w:rFonts w:ascii="宋体" w:eastAsia="宋体" w:hAnsi="宋体" w:hint="eastAsia"/>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36" w:name="_Hlk71407299"/>
    </w:p>
    <w:p>
      <w:pPr>
        <w:spacing w:line="360" w:lineRule="auto"/>
        <w:ind w:firstLine="412" w:firstLineChars="196"/>
        <w:rPr>
          <w:rFonts w:ascii="宋体" w:eastAsia="宋体" w:hAnsi="宋体"/>
          <w:szCs w:val="21"/>
        </w:rPr>
      </w:pPr>
      <w:bookmarkEnd w:id="36"/>
      <w:r>
        <w:rPr>
          <w:rFonts w:ascii="宋体" w:eastAsia="宋体" w:hAnsi="宋体" w:hint="eastAsia"/>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spacing w:line="360" w:lineRule="auto"/>
        <w:rPr>
          <w:rFonts w:ascii="宋体" w:eastAsia="宋体" w:hAnsi="宋体"/>
          <w:b/>
          <w:bCs/>
          <w:szCs w:val="21"/>
        </w:rPr>
      </w:pPr>
      <w:r>
        <w:rPr>
          <w:rFonts w:ascii="宋体" w:eastAsia="宋体" w:hAnsi="宋体" w:hint="eastAsia"/>
          <w:b/>
          <w:bCs/>
          <w:szCs w:val="21"/>
        </w:rPr>
        <w:t>20．投标有效期</w:t>
      </w:r>
    </w:p>
    <w:p>
      <w:pPr>
        <w:spacing w:line="360" w:lineRule="auto"/>
        <w:ind w:firstLine="412" w:firstLineChars="196"/>
        <w:rPr>
          <w:rFonts w:ascii="宋体" w:eastAsia="宋体" w:hAnsi="宋体"/>
          <w:szCs w:val="21"/>
        </w:rPr>
      </w:pPr>
      <w:bookmarkEnd w:id="35"/>
      <w:bookmarkStart w:id="37" w:name="_Hlk72402214"/>
      <w:r>
        <w:rPr>
          <w:rFonts w:ascii="宋体" w:eastAsia="宋体" w:hAnsi="宋体" w:hint="eastAsia"/>
          <w:szCs w:val="21"/>
        </w:rPr>
        <w:t>20.1 投标有效期为</w:t>
      </w:r>
      <w:r>
        <w:rPr>
          <w:rFonts w:ascii="宋体" w:eastAsia="宋体" w:hAnsi="宋体" w:cs="Arial" w:hint="eastAsia"/>
          <w:szCs w:val="21"/>
        </w:rPr>
        <w:t>从投标截止之日算起的日历天数。</w:t>
      </w:r>
      <w:r>
        <w:rPr>
          <w:rFonts w:ascii="宋体" w:eastAsia="宋体" w:hAnsi="宋体" w:hint="eastAsia"/>
          <w:szCs w:val="21"/>
        </w:rPr>
        <w:t>在此期限内，所有投标文件均保持有效。</w:t>
      </w:r>
    </w:p>
    <w:p>
      <w:pPr>
        <w:spacing w:line="360" w:lineRule="auto"/>
        <w:ind w:firstLine="412" w:firstLineChars="196"/>
        <w:rPr>
          <w:rFonts w:ascii="宋体" w:eastAsia="宋体" w:hAnsi="宋体"/>
          <w:szCs w:val="21"/>
        </w:rPr>
      </w:pPr>
      <w:r>
        <w:rPr>
          <w:rFonts w:ascii="宋体" w:eastAsia="宋体" w:hAnsi="宋体" w:hint="eastAsia"/>
          <w:szCs w:val="21"/>
        </w:rPr>
        <w:t>20.2 在特殊情况下，采购代理机构在原定的投标有效期满之前，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pPr>
        <w:spacing w:line="360" w:lineRule="auto"/>
        <w:ind w:firstLine="412" w:firstLineChars="196"/>
        <w:rPr>
          <w:rFonts w:ascii="宋体" w:eastAsia="宋体" w:hAnsi="宋体"/>
          <w:szCs w:val="21"/>
        </w:rPr>
      </w:pPr>
      <w:r>
        <w:rPr>
          <w:rFonts w:ascii="宋体" w:eastAsia="宋体" w:hAnsi="宋体" w:hint="eastAsia"/>
          <w:szCs w:val="21"/>
        </w:rPr>
        <w:t>20</w:t>
      </w:r>
      <w:r>
        <w:rPr>
          <w:rFonts w:ascii="宋体" w:eastAsia="宋体" w:hAnsi="宋体"/>
          <w:szCs w:val="21"/>
        </w:rPr>
        <w:t>.3</w:t>
      </w:r>
      <w:r>
        <w:rPr>
          <w:rFonts w:ascii="宋体" w:eastAsia="宋体" w:hAnsi="宋体" w:hint="eastAsia"/>
          <w:szCs w:val="21"/>
        </w:rPr>
        <w:t xml:space="preserve"> 中标供应商的投标文件有效期，截止于完成本招标文件规定的全部项目内容，并通过竣工验收及保修期结束。</w:t>
      </w:r>
    </w:p>
    <w:p>
      <w:pPr>
        <w:spacing w:line="360" w:lineRule="auto"/>
        <w:rPr>
          <w:rFonts w:ascii="宋体" w:eastAsia="宋体" w:hAnsi="宋体"/>
          <w:szCs w:val="21"/>
        </w:rPr>
      </w:pPr>
      <w:bookmarkEnd w:id="37"/>
      <w:r>
        <w:rPr>
          <w:rFonts w:ascii="宋体" w:eastAsia="宋体" w:hAnsi="宋体" w:hint="eastAsia"/>
          <w:szCs w:val="21"/>
        </w:rPr>
        <w:t>21．</w:t>
      </w:r>
      <w:bookmarkStart w:id="38" w:name="_Hlk72402325"/>
      <w:r>
        <w:rPr>
          <w:rFonts w:ascii="宋体" w:eastAsia="宋体" w:hAnsi="宋体" w:hint="eastAsia"/>
          <w:szCs w:val="21"/>
        </w:rPr>
        <w:t xml:space="preserve">关于投标保证金 </w:t>
      </w:r>
    </w:p>
    <w:p>
      <w:pPr>
        <w:spacing w:line="360" w:lineRule="auto"/>
        <w:rPr>
          <w:rFonts w:ascii="宋体" w:eastAsia="宋体" w:hAnsi="宋体"/>
          <w:szCs w:val="21"/>
        </w:rPr>
      </w:pPr>
      <w:r>
        <w:rPr>
          <w:rFonts w:ascii="宋体" w:eastAsia="宋体" w:hAnsi="宋体" w:hint="eastAsia"/>
          <w:szCs w:val="21"/>
        </w:rPr>
        <w:t xml:space="preserve">    21.1 根据《</w:t>
      </w:r>
      <w:r>
        <w:rPr>
          <w:rFonts w:ascii="宋体" w:eastAsia="宋体" w:hAnsi="宋体"/>
          <w:szCs w:val="21"/>
        </w:rPr>
        <w:t>深圳市财政局关于明确政府采购保证金管理工作的通知</w:t>
      </w:r>
      <w:r>
        <w:rPr>
          <w:rFonts w:ascii="宋体" w:eastAsia="宋体" w:hAnsi="宋体" w:hint="eastAsia"/>
          <w:szCs w:val="21"/>
        </w:rPr>
        <w:t>》（深财购[</w:t>
      </w:r>
      <w:r>
        <w:rPr>
          <w:rFonts w:ascii="宋体" w:eastAsia="宋体" w:hAnsi="宋体"/>
          <w:szCs w:val="21"/>
        </w:rPr>
        <w:t>2019]42</w:t>
      </w:r>
      <w:r>
        <w:rPr>
          <w:rFonts w:ascii="宋体" w:eastAsia="宋体" w:hAnsi="宋体" w:hint="eastAsia"/>
          <w:szCs w:val="21"/>
        </w:rPr>
        <w:t>号）文的规定，本项目不收取投标保证金。</w:t>
      </w:r>
    </w:p>
    <w:p>
      <w:pPr>
        <w:spacing w:line="360" w:lineRule="auto"/>
        <w:rPr>
          <w:rFonts w:ascii="宋体" w:eastAsia="宋体" w:hAnsi="宋体"/>
          <w:szCs w:val="21"/>
        </w:rPr>
      </w:pPr>
      <w:r>
        <w:rPr>
          <w:rFonts w:ascii="宋体" w:eastAsia="宋体" w:hAnsi="宋体" w:hint="eastAsia"/>
          <w:szCs w:val="21"/>
        </w:rPr>
        <w:t>22．投标人的替代方案</w:t>
      </w:r>
    </w:p>
    <w:p>
      <w:pPr>
        <w:spacing w:line="360" w:lineRule="auto"/>
        <w:ind w:firstLine="412" w:firstLineChars="196"/>
        <w:rPr>
          <w:rFonts w:ascii="宋体" w:eastAsia="宋体" w:hAnsi="宋体"/>
          <w:szCs w:val="21"/>
        </w:rPr>
      </w:pPr>
      <w:r>
        <w:rPr>
          <w:rFonts w:ascii="宋体" w:eastAsia="宋体" w:hAnsi="宋体" w:hint="eastAsia"/>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spacing w:line="360" w:lineRule="auto"/>
        <w:ind w:firstLine="412" w:firstLineChars="196"/>
        <w:rPr>
          <w:rFonts w:ascii="宋体" w:eastAsia="宋体" w:hAnsi="宋体"/>
          <w:szCs w:val="21"/>
        </w:rPr>
      </w:pPr>
      <w:r>
        <w:rPr>
          <w:rFonts w:ascii="宋体" w:eastAsia="宋体" w:hAnsi="宋体" w:hint="eastAsia"/>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pPr>
        <w:spacing w:line="360" w:lineRule="auto"/>
        <w:rPr>
          <w:rFonts w:ascii="宋体" w:eastAsia="宋体" w:hAnsi="宋体"/>
          <w:b/>
          <w:bCs/>
          <w:szCs w:val="21"/>
        </w:rPr>
      </w:pPr>
      <w:bookmarkEnd w:id="38"/>
      <w:r>
        <w:rPr>
          <w:rFonts w:ascii="宋体" w:eastAsia="宋体" w:hAnsi="宋体" w:hint="eastAsia"/>
          <w:b/>
          <w:bCs/>
          <w:szCs w:val="21"/>
        </w:rPr>
        <w:t>23．</w:t>
      </w:r>
      <w:bookmarkStart w:id="39" w:name="_Hlk72402860"/>
      <w:r>
        <w:rPr>
          <w:rFonts w:ascii="宋体" w:eastAsia="宋体" w:hAnsi="宋体"/>
          <w:b/>
          <w:bCs/>
          <w:szCs w:val="21"/>
        </w:rPr>
        <w:t>投标文件的</w:t>
      </w:r>
      <w:r>
        <w:rPr>
          <w:rFonts w:ascii="宋体" w:eastAsia="宋体" w:hAnsi="宋体" w:hint="eastAsia"/>
          <w:b/>
          <w:bCs/>
          <w:szCs w:val="21"/>
        </w:rPr>
        <w:t>制作</w:t>
      </w:r>
      <w:r>
        <w:rPr>
          <w:rFonts w:ascii="宋体" w:eastAsia="宋体" w:hAnsi="宋体"/>
          <w:b/>
          <w:bCs/>
          <w:szCs w:val="21"/>
        </w:rPr>
        <w:t>要求</w:t>
      </w:r>
    </w:p>
    <w:p>
      <w:pPr>
        <w:spacing w:line="360" w:lineRule="auto"/>
        <w:ind w:firstLine="412" w:firstLineChars="196"/>
        <w:rPr>
          <w:rFonts w:ascii="宋体" w:eastAsia="宋体" w:hAnsi="宋体"/>
          <w:szCs w:val="21"/>
        </w:rPr>
      </w:pPr>
      <w:r>
        <w:rPr>
          <w:rFonts w:ascii="宋体" w:eastAsia="宋体" w:hAnsi="宋体" w:hint="eastAsia"/>
          <w:szCs w:val="21"/>
        </w:rPr>
        <w:t>23.1投标人应准备所投项目的电子投标文件一份。此电子投标文件须由投标人根据采购代理机构提供的后缀名为.szczf的电子招标文件，下载并使用相应的深圳智慧采购平台投标文件制作专用软件打开招标文件（.szczf格式）【下载地址：</w:t>
      </w:r>
      <w:r>
        <w:rPr>
          <w:rFonts w:ascii="宋体" w:eastAsia="宋体" w:hAnsi="宋体"/>
          <w:szCs w:val="21"/>
        </w:rPr>
        <w:t>http://zfcg.szggzy.com/</w:t>
      </w:r>
      <w:r>
        <w:rPr>
          <w:rFonts w:ascii="宋体" w:eastAsia="宋体" w:hAnsi="宋体" w:hint="eastAsia"/>
          <w:szCs w:val="21"/>
        </w:rPr>
        <w:t>TPBidder/DownLoad/深圳市智慧采购平台投标文件制作专用软件.zip】。</w:t>
      </w:r>
    </w:p>
    <w:p>
      <w:pPr>
        <w:spacing w:line="360" w:lineRule="auto"/>
        <w:ind w:firstLine="412" w:firstLineChars="196"/>
        <w:rPr>
          <w:rFonts w:ascii="宋体" w:eastAsia="宋体" w:hAnsi="宋体"/>
          <w:szCs w:val="21"/>
        </w:rPr>
      </w:pPr>
      <w:r>
        <w:rPr>
          <w:rFonts w:ascii="宋体" w:eastAsia="宋体" w:hAnsi="宋体" w:hint="eastAsia"/>
          <w:szCs w:val="21"/>
        </w:rPr>
        <w:t>23.2投标人在使用《投标文件制作软件》编制投标书时须注意：</w:t>
      </w:r>
    </w:p>
    <w:p>
      <w:pPr>
        <w:spacing w:line="360" w:lineRule="auto"/>
        <w:ind w:firstLine="412" w:firstLineChars="196"/>
        <w:rPr>
          <w:rFonts w:ascii="宋体" w:eastAsia="宋体" w:hAnsi="宋体"/>
          <w:szCs w:val="21"/>
        </w:rPr>
      </w:pPr>
      <w:r>
        <w:rPr>
          <w:rFonts w:ascii="宋体" w:eastAsia="宋体" w:hAnsi="宋体" w:hint="eastAsia"/>
          <w:szCs w:val="21"/>
        </w:rPr>
        <w:t>23.2.1导入《投标文件制作软件》的招标文件项目编号、包号应与以此制作的投标文件项目编号、包号一致。例如，不能将甲项目A包的招标书导入《投标文件制作软件》，制作乙项目B包的投标书。</w:t>
      </w:r>
    </w:p>
    <w:p>
      <w:pPr>
        <w:spacing w:line="360" w:lineRule="auto"/>
        <w:ind w:firstLine="412" w:firstLineChars="196"/>
        <w:rPr>
          <w:rFonts w:ascii="宋体" w:eastAsia="宋体" w:hAnsi="宋体"/>
          <w:szCs w:val="21"/>
        </w:rPr>
      </w:pPr>
      <w:r>
        <w:rPr>
          <w:rFonts w:ascii="宋体" w:eastAsia="宋体" w:hAnsi="宋体" w:hint="eastAsia"/>
          <w:szCs w:val="21"/>
        </w:rPr>
        <w:t>23.2.2不能用非本公司的电子密钥加密本公司的投标文件，或者用其它公司的登录用户上传本公司的投标文件。</w:t>
      </w:r>
    </w:p>
    <w:p>
      <w:pPr>
        <w:spacing w:line="360" w:lineRule="auto"/>
        <w:ind w:firstLine="412" w:firstLineChars="196"/>
        <w:rPr>
          <w:rFonts w:ascii="宋体" w:eastAsia="宋体" w:hAnsi="宋体"/>
          <w:szCs w:val="21"/>
        </w:rPr>
      </w:pPr>
      <w:r>
        <w:rPr>
          <w:rFonts w:ascii="宋体" w:eastAsia="宋体" w:hAnsi="宋体" w:hint="eastAsia"/>
          <w:szCs w:val="21"/>
        </w:rPr>
        <w:t>23.2.3要求用《投标文件制作软件》编制投标书的包，不能用其它方式编制投标书。编制投标文件时，电脑须连通互联网。</w:t>
      </w:r>
    </w:p>
    <w:p>
      <w:pPr>
        <w:spacing w:line="360" w:lineRule="auto"/>
        <w:ind w:firstLine="412" w:firstLineChars="196"/>
        <w:rPr>
          <w:rFonts w:ascii="宋体" w:eastAsia="宋体" w:hAnsi="宋体"/>
          <w:szCs w:val="21"/>
        </w:rPr>
      </w:pPr>
      <w:r>
        <w:rPr>
          <w:rFonts w:ascii="宋体" w:eastAsia="宋体" w:hAnsi="宋体" w:hint="eastAsia"/>
          <w:szCs w:val="21"/>
        </w:rPr>
        <w:t>23.2.4投标文件不能带病毒。采购代理机构将用专业杀毒软件对投标文件进行病毒检测，如果这两种软件均报告发现病毒，则采购代理机构认为该投标文件带病毒。</w:t>
      </w:r>
    </w:p>
    <w:p>
      <w:pPr>
        <w:spacing w:line="360" w:lineRule="auto"/>
        <w:ind w:firstLine="412" w:firstLineChars="196"/>
        <w:rPr>
          <w:rFonts w:ascii="宋体" w:eastAsia="宋体" w:hAnsi="宋体"/>
          <w:szCs w:val="21"/>
        </w:rPr>
      </w:pPr>
      <w:r>
        <w:rPr>
          <w:rFonts w:ascii="宋体" w:eastAsia="宋体" w:hAnsi="宋体" w:hint="eastAsia"/>
          <w:szCs w:val="21"/>
        </w:rPr>
        <w:t>23.2.5完整填写“投标关键信息”，如下图所示：</w:t>
      </w:r>
    </w:p>
    <w:p>
      <w:pPr>
        <w:tabs>
          <w:tab w:val="left" w:pos="0"/>
        </w:tabs>
        <w:spacing w:line="360" w:lineRule="auto"/>
        <w:rPr>
          <w:rFonts w:ascii="宋体" w:eastAsia="宋体" w:hAnsi="宋体"/>
          <w:szCs w:val="21"/>
        </w:rPr>
      </w:pPr>
      <w:r>
        <w:rPr>
          <w:rFonts w:ascii="宋体" w:eastAsia="宋体" w:hAnsi="宋体"/>
          <w:szCs w:val="21"/>
        </w:rPr>
        <w:drawing>
          <wp:inline distT="0" distB="0" distL="114300" distR="114300">
            <wp:extent cx="5278755" cy="2721610"/>
            <wp:effectExtent l="0" t="0" r="17145" b="2540"/>
            <wp:docPr id="3" name="图片 6"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图形用户界面, 应用程序&#10;&#10;描述已自动生成"/>
                    <pic:cNvPicPr>
                      <a:picLocks noChangeAspect="1"/>
                    </pic:cNvPicPr>
                  </pic:nvPicPr>
                  <pic:blipFill>
                    <a:blip xmlns:r="http://schemas.openxmlformats.org/officeDocument/2006/relationships" r:embed="rId8"/>
                    <a:stretch>
                      <a:fillRect/>
                    </a:stretch>
                  </pic:blipFill>
                  <pic:spPr>
                    <a:xfrm>
                      <a:off x="0" y="0"/>
                      <a:ext cx="5278755" cy="2721610"/>
                    </a:xfrm>
                    <a:prstGeom prst="rect">
                      <a:avLst/>
                    </a:prstGeom>
                    <a:noFill/>
                    <a:ln>
                      <a:noFill/>
                    </a:ln>
                  </pic:spPr>
                </pic:pic>
              </a:graphicData>
            </a:graphic>
          </wp:inline>
        </w:drawing>
      </w:r>
    </w:p>
    <w:p>
      <w:pPr>
        <w:spacing w:line="360" w:lineRule="auto"/>
        <w:ind w:firstLine="412" w:firstLineChars="196"/>
        <w:rPr>
          <w:rFonts w:ascii="宋体" w:eastAsia="宋体" w:hAnsi="宋体"/>
          <w:b/>
          <w:szCs w:val="21"/>
        </w:rPr>
      </w:pPr>
      <w:r>
        <w:rPr>
          <w:rFonts w:ascii="宋体" w:eastAsia="宋体" w:hAnsi="宋体" w:hint="eastAsia"/>
          <w:b/>
          <w:szCs w:val="21"/>
        </w:rPr>
        <w:t>备注：上述“开标一览表”中的“投标总价”将作为价格分计算依据；其它信息仅是对投标文件相关内容的概括性表述，不作为评审依据。</w:t>
      </w:r>
    </w:p>
    <w:p>
      <w:pPr>
        <w:spacing w:line="360" w:lineRule="auto"/>
        <w:ind w:firstLine="412" w:firstLineChars="196"/>
        <w:rPr>
          <w:rFonts w:ascii="宋体" w:eastAsia="宋体" w:hAnsi="宋体"/>
          <w:szCs w:val="21"/>
        </w:rPr>
      </w:pPr>
      <w:r>
        <w:rPr>
          <w:rFonts w:ascii="宋体" w:eastAsia="宋体" w:hAnsi="宋体" w:hint="eastAsia"/>
          <w:szCs w:val="21"/>
        </w:rPr>
        <w:t>23.2.6投标人在编辑投标文件时，</w:t>
      </w:r>
      <w:r>
        <w:rPr>
          <w:rFonts w:ascii="宋体" w:eastAsia="宋体" w:hAnsi="宋体" w:hint="eastAsia"/>
          <w:b/>
          <w:szCs w:val="21"/>
        </w:rPr>
        <w:t>在投标文件目录中属于本节点内容的必须在本节点中填写，填写到其他节点或附件，</w:t>
      </w:r>
      <w:r>
        <w:rPr>
          <w:rFonts w:ascii="宋体" w:eastAsia="宋体" w:hAnsi="宋体" w:hint="eastAsia"/>
          <w:szCs w:val="21"/>
        </w:rPr>
        <w:t>一切后果由供应商自行承担。</w:t>
      </w:r>
    </w:p>
    <w:p>
      <w:pPr>
        <w:spacing w:line="360" w:lineRule="auto"/>
        <w:ind w:firstLine="412" w:firstLineChars="196"/>
        <w:rPr>
          <w:rFonts w:ascii="宋体" w:eastAsia="宋体" w:hAnsi="宋体"/>
          <w:szCs w:val="21"/>
        </w:rPr>
      </w:pPr>
      <w:r>
        <w:rPr>
          <w:rFonts w:ascii="宋体" w:eastAsia="宋体" w:hAnsi="宋体" w:hint="eastAsia"/>
          <w:szCs w:val="21"/>
        </w:rPr>
        <w:t>23.2.7投标文件编写完成后，</w:t>
      </w:r>
      <w:r>
        <w:rPr>
          <w:rFonts w:ascii="宋体" w:eastAsia="宋体" w:hAnsi="宋体" w:hint="eastAsia"/>
          <w:b/>
          <w:szCs w:val="21"/>
        </w:rPr>
        <w:t>必须用属于投标人的电子密钥进行加密，否则视同未盖公章，将导致投标文件无效。</w:t>
      </w:r>
    </w:p>
    <w:p>
      <w:pPr>
        <w:spacing w:line="360" w:lineRule="auto"/>
        <w:ind w:firstLine="412" w:firstLineChars="196"/>
        <w:rPr>
          <w:rFonts w:ascii="宋体" w:eastAsia="宋体" w:hAnsi="宋体"/>
          <w:szCs w:val="21"/>
        </w:rPr>
      </w:pPr>
      <w:r>
        <w:rPr>
          <w:rFonts w:ascii="宋体" w:eastAsia="宋体" w:hAnsi="宋体" w:hint="eastAsia"/>
          <w:szCs w:val="21"/>
        </w:rPr>
        <w:t>23.2.8采购代理机构不接受投标截止时间后递交的纸质、电子、传真等所有形式的投标文件。由于对网上政府采购系统操作不熟悉或自身电脑、网络等原因导致不能在投标截止时间之前上传投标文件，采购代理机构概不负责。建议于开标前一个工作日完成投标文件的制作与上传，如上传确有困难，请及时咨询。</w:t>
      </w:r>
    </w:p>
    <w:p>
      <w:pPr>
        <w:spacing w:line="360" w:lineRule="auto"/>
        <w:ind w:firstLine="412" w:firstLineChars="196"/>
        <w:rPr>
          <w:rFonts w:ascii="宋体" w:eastAsia="宋体" w:hAnsi="宋体"/>
          <w:szCs w:val="21"/>
        </w:rPr>
      </w:pPr>
      <w:r>
        <w:rPr>
          <w:rFonts w:ascii="宋体" w:eastAsia="宋体" w:hAnsi="宋体" w:hint="eastAsia"/>
          <w:szCs w:val="21"/>
        </w:rPr>
        <w:t>23.2.9如果开标时出现网络故障、技术故障，影响了政府采购活动，采购代理机构有权采取措施如延期、接受无法从网上上传的投标书等，以保障政府采购活动的公开、公平和公正。</w:t>
      </w:r>
    </w:p>
    <w:p>
      <w:pPr>
        <w:spacing w:line="360" w:lineRule="auto"/>
        <w:ind w:firstLine="412" w:firstLineChars="196"/>
        <w:rPr>
          <w:rFonts w:ascii="宋体" w:eastAsia="宋体" w:hAnsi="宋体"/>
          <w:szCs w:val="21"/>
        </w:rPr>
      </w:pPr>
      <w:r>
        <w:rPr>
          <w:rFonts w:ascii="宋体" w:eastAsia="宋体" w:hAnsi="宋体" w:hint="eastAsia"/>
          <w:szCs w:val="21"/>
        </w:rPr>
        <w:t>23.3电报、电话、传真形式的投标概不接受。</w:t>
      </w:r>
    </w:p>
    <w:p>
      <w:pPr>
        <w:spacing w:line="360" w:lineRule="auto"/>
        <w:ind w:firstLine="412" w:firstLineChars="196"/>
        <w:rPr>
          <w:rFonts w:ascii="宋体" w:eastAsia="宋体" w:hAnsi="宋体"/>
          <w:b/>
          <w:szCs w:val="21"/>
        </w:rPr>
      </w:pPr>
      <w:r>
        <w:rPr>
          <w:rFonts w:ascii="宋体" w:eastAsia="宋体" w:hAnsi="宋体" w:hint="eastAsia"/>
          <w:b/>
          <w:szCs w:val="21"/>
        </w:rPr>
        <w:t>23.4经投标人电子密钥加密的投标文件无须盖章或签字，</w:t>
      </w:r>
      <w:r>
        <w:rPr>
          <w:rFonts w:ascii="宋体" w:eastAsia="宋体" w:hAnsi="宋体" w:hint="eastAsia"/>
          <w:szCs w:val="21"/>
        </w:rPr>
        <w:t>专用条款另有要求的除外。</w:t>
      </w:r>
    </w:p>
    <w:p>
      <w:pPr>
        <w:spacing w:line="360" w:lineRule="auto"/>
        <w:ind w:firstLine="412" w:firstLineChars="196"/>
        <w:rPr>
          <w:rFonts w:ascii="宋体" w:eastAsia="宋体" w:hAnsi="宋体"/>
          <w:szCs w:val="21"/>
        </w:rPr>
      </w:pPr>
      <w:r>
        <w:rPr>
          <w:rFonts w:ascii="宋体" w:eastAsia="宋体" w:hAnsi="宋体" w:hint="eastAsia"/>
          <w:b/>
          <w:szCs w:val="21"/>
        </w:rPr>
        <w:t>23.5</w:t>
      </w:r>
      <w:r>
        <w:rPr>
          <w:rFonts w:ascii="宋体" w:eastAsia="宋体" w:hAnsi="宋体" w:hint="eastAsia"/>
          <w:szCs w:val="21"/>
        </w:rPr>
        <w:t xml:space="preserve"> 各类资格（资质）文件提供扫描件，专用条款另有要求的除外。</w:t>
      </w:r>
      <w:bookmarkEnd w:id="39"/>
    </w:p>
    <w:p>
      <w:pPr>
        <w:keepNext/>
        <w:keepLines/>
        <w:widowControl/>
        <w:numPr>
          <w:ilvl w:val="0"/>
          <w:numId w:val="2"/>
        </w:numPr>
        <w:adjustRightInd w:val="0"/>
        <w:spacing w:before="156" w:beforeLines="50" w:after="156" w:afterLines="50" w:line="360" w:lineRule="auto"/>
        <w:ind w:left="562" w:hanging="562"/>
        <w:jc w:val="center"/>
        <w:textAlignment w:val="baseline"/>
        <w:outlineLvl w:val="1"/>
        <w:rPr>
          <w:rFonts w:ascii="宋体" w:eastAsia="宋体" w:hAnsi="宋体"/>
          <w:b/>
          <w:bCs/>
          <w:kern w:val="0"/>
          <w:sz w:val="28"/>
          <w:szCs w:val="28"/>
        </w:rPr>
      </w:pPr>
      <w:r>
        <w:rPr>
          <w:rFonts w:ascii="宋体" w:eastAsia="宋体" w:hAnsi="宋体" w:hint="eastAsia"/>
          <w:b/>
          <w:bCs/>
          <w:kern w:val="0"/>
          <w:sz w:val="28"/>
          <w:szCs w:val="28"/>
        </w:rPr>
        <w:t>投标文件的递交</w:t>
      </w:r>
      <w:bookmarkStart w:id="40" w:name="_Hlk72405459"/>
    </w:p>
    <w:p>
      <w:pPr>
        <w:spacing w:line="360" w:lineRule="auto"/>
        <w:rPr>
          <w:rFonts w:ascii="宋体" w:eastAsia="宋体" w:hAnsi="宋体"/>
          <w:b/>
          <w:bCs/>
          <w:szCs w:val="21"/>
        </w:rPr>
      </w:pPr>
      <w:r>
        <w:rPr>
          <w:rFonts w:ascii="宋体" w:eastAsia="宋体" w:hAnsi="宋体" w:hint="eastAsia"/>
          <w:b/>
          <w:bCs/>
          <w:szCs w:val="21"/>
        </w:rPr>
        <w:t>24．投标书的保密</w:t>
      </w:r>
    </w:p>
    <w:p>
      <w:pPr>
        <w:spacing w:line="360" w:lineRule="auto"/>
        <w:ind w:firstLine="412" w:firstLineChars="196"/>
        <w:rPr>
          <w:rFonts w:ascii="宋体" w:eastAsia="宋体" w:hAnsi="宋体"/>
          <w:szCs w:val="21"/>
        </w:rPr>
      </w:pPr>
      <w:r>
        <w:rPr>
          <w:rFonts w:ascii="宋体" w:eastAsia="宋体" w:hAnsi="宋体" w:hint="eastAsia"/>
          <w:szCs w:val="21"/>
        </w:rPr>
        <w:t>24.1在投标文件制作完成后，在投标文件制作软件点击【生成标书】按钮进入【填写开标一览表界面】界面，在该界面填写完开标一览表信息后点击【确定】，进入投标文件生成环节。投标文件制作软件会在投标文件生成过程中，提示用户输入密码，输入密码后对标文件自动进行加密，此加密程序确保投标文件在到达开标时间后才能解密查看。在加密过程中，请按照软件提示进行操作。加密操作界面如下图所示：</w:t>
      </w:r>
    </w:p>
    <w:p>
      <w:pPr>
        <w:spacing w:line="360" w:lineRule="auto"/>
        <w:jc w:val="center"/>
        <w:rPr>
          <w:rFonts w:ascii="宋体" w:eastAsia="宋体" w:hAnsi="宋体"/>
          <w:szCs w:val="21"/>
        </w:rPr>
      </w:pPr>
      <w:r>
        <w:rPr>
          <w:rFonts w:ascii="宋体" w:eastAsia="宋体" w:hAnsi="宋体"/>
          <w:szCs w:val="21"/>
        </w:rPr>
        <w:drawing>
          <wp:inline distT="0" distB="0" distL="114300" distR="114300">
            <wp:extent cx="5278755" cy="2721610"/>
            <wp:effectExtent l="0" t="0" r="17145" b="2540"/>
            <wp:docPr id="4" name="图片 7"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图形用户界面, 应用程序&#10;&#10;描述已自动生成"/>
                    <pic:cNvPicPr>
                      <a:picLocks noChangeAspect="1"/>
                    </pic:cNvPicPr>
                  </pic:nvPicPr>
                  <pic:blipFill>
                    <a:blip xmlns:r="http://schemas.openxmlformats.org/officeDocument/2006/relationships" r:embed="rId8"/>
                    <a:stretch>
                      <a:fillRect/>
                    </a:stretch>
                  </pic:blipFill>
                  <pic:spPr>
                    <a:xfrm>
                      <a:off x="0" y="0"/>
                      <a:ext cx="5278755" cy="2721610"/>
                    </a:xfrm>
                    <a:prstGeom prst="rect">
                      <a:avLst/>
                    </a:prstGeom>
                    <a:noFill/>
                    <a:ln>
                      <a:noFill/>
                    </a:ln>
                  </pic:spPr>
                </pic:pic>
              </a:graphicData>
            </a:graphic>
          </wp:inline>
        </w:drawing>
      </w:r>
    </w:p>
    <w:p>
      <w:pPr>
        <w:spacing w:line="360" w:lineRule="auto"/>
        <w:ind w:firstLine="412" w:firstLineChars="196"/>
        <w:rPr>
          <w:rFonts w:ascii="宋体" w:eastAsia="宋体" w:hAnsi="宋体"/>
          <w:szCs w:val="21"/>
        </w:rPr>
      </w:pPr>
      <w:r>
        <w:rPr>
          <w:rFonts w:ascii="宋体" w:eastAsia="宋体" w:hAnsi="宋体" w:hint="eastAsia"/>
          <w:szCs w:val="21"/>
        </w:rPr>
        <w:t>在投标文件制作软件点击【生成标书】按钮进入【填写开标一览表界面】界面，在该界面填写完开标一览表信息后点击【确定】，进入投标文件生成环节。</w:t>
      </w:r>
      <w:r>
        <w:rPr>
          <w:rFonts w:ascii="宋体" w:eastAsia="宋体" w:hAnsi="宋体"/>
          <w:szCs w:val="21"/>
        </w:rPr>
        <w:drawing>
          <wp:inline distT="0" distB="0" distL="114300" distR="114300">
            <wp:extent cx="5278755" cy="2732405"/>
            <wp:effectExtent l="0" t="0" r="17145" b="10795"/>
            <wp:docPr id="6" name="图片 8"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descr="图形用户界面&#10;&#10;描述已自动生成"/>
                    <pic:cNvPicPr>
                      <a:picLocks noChangeAspect="1"/>
                    </pic:cNvPicPr>
                  </pic:nvPicPr>
                  <pic:blipFill>
                    <a:blip xmlns:r="http://schemas.openxmlformats.org/officeDocument/2006/relationships" r:embed="rId9"/>
                    <a:stretch>
                      <a:fillRect/>
                    </a:stretch>
                  </pic:blipFill>
                  <pic:spPr>
                    <a:xfrm>
                      <a:off x="0" y="0"/>
                      <a:ext cx="5278755" cy="2732405"/>
                    </a:xfrm>
                    <a:prstGeom prst="rect">
                      <a:avLst/>
                    </a:prstGeom>
                    <a:noFill/>
                    <a:ln>
                      <a:noFill/>
                    </a:ln>
                  </pic:spPr>
                </pic:pic>
              </a:graphicData>
            </a:graphic>
          </wp:inline>
        </w:drawing>
      </w:r>
    </w:p>
    <w:p>
      <w:pPr>
        <w:spacing w:line="360" w:lineRule="auto"/>
        <w:ind w:firstLine="412" w:firstLineChars="196"/>
        <w:rPr>
          <w:rFonts w:ascii="宋体" w:eastAsia="宋体" w:hAnsi="宋体"/>
          <w:szCs w:val="21"/>
        </w:rPr>
      </w:pPr>
      <w:r>
        <w:rPr>
          <w:rFonts w:ascii="宋体" w:eastAsia="宋体" w:hAnsi="宋体" w:hint="eastAsia"/>
          <w:szCs w:val="21"/>
        </w:rPr>
        <w:t>投标文件制作软件会在投标文件生成过程中，提示用户输入密码，输入密码后对标文件自动进行加密。</w:t>
      </w:r>
    </w:p>
    <w:p>
      <w:pPr>
        <w:spacing w:line="360" w:lineRule="auto"/>
        <w:ind w:firstLine="420" w:firstLineChars="200"/>
        <w:rPr>
          <w:rFonts w:ascii="宋体" w:eastAsia="宋体" w:hAnsi="宋体"/>
          <w:b/>
          <w:szCs w:val="21"/>
        </w:rPr>
      </w:pPr>
      <w:r>
        <w:rPr>
          <w:rFonts w:ascii="宋体" w:eastAsia="宋体" w:hAnsi="宋体" w:hint="eastAsia"/>
          <w:b/>
          <w:szCs w:val="21"/>
        </w:rPr>
        <w:t>24.2若采购项目出现延期情况：</w:t>
      </w:r>
    </w:p>
    <w:p>
      <w:pPr>
        <w:spacing w:line="360" w:lineRule="auto"/>
        <w:ind w:firstLine="420" w:firstLineChars="200"/>
        <w:rPr>
          <w:rFonts w:ascii="宋体" w:eastAsia="宋体" w:hAnsi="宋体"/>
          <w:b/>
          <w:szCs w:val="21"/>
        </w:rPr>
      </w:pPr>
      <w:r>
        <w:rPr>
          <w:rFonts w:ascii="宋体" w:eastAsia="宋体" w:hAnsi="宋体" w:hint="eastAsia"/>
          <w:b/>
          <w:szCs w:val="21"/>
        </w:rPr>
        <w:t>如果供下载的招标文件（后缀名为.</w:t>
      </w:r>
      <w:r>
        <w:rPr>
          <w:rFonts w:ascii="宋体" w:eastAsia="宋体" w:hAnsi="宋体"/>
          <w:b/>
          <w:szCs w:val="21"/>
        </w:rPr>
        <w:t>szczf</w:t>
      </w:r>
      <w:r>
        <w:rPr>
          <w:rFonts w:ascii="宋体" w:eastAsia="宋体" w:hAnsi="宋体" w:hint="eastAsia"/>
          <w:b/>
          <w:szCs w:val="21"/>
        </w:rPr>
        <w:t>）有更新，投标人必须重新下载招标文件、重新制作投标文件、重新加密投标文件、重新上传投标文件；如果供下载的招标文件（后缀名为.</w:t>
      </w:r>
      <w:r>
        <w:rPr>
          <w:rFonts w:ascii="宋体" w:eastAsia="宋体" w:hAnsi="宋体"/>
          <w:b/>
          <w:szCs w:val="21"/>
        </w:rPr>
        <w:t>szczf</w:t>
      </w:r>
      <w:r>
        <w:rPr>
          <w:rFonts w:ascii="宋体" w:eastAsia="宋体" w:hAnsi="宋体" w:hint="eastAsia"/>
          <w:b/>
          <w:szCs w:val="21"/>
        </w:rPr>
        <w:t>）没有更新，投标人必须重新加密投标文件、重新上传投标文件（是否重新制作投标文件根据项目实际情况定）。否则，投标人自行承担投标文件无法解密导致投标无效的后果。</w:t>
      </w:r>
    </w:p>
    <w:p>
      <w:pPr>
        <w:spacing w:line="360" w:lineRule="auto"/>
        <w:rPr>
          <w:rFonts w:ascii="宋体" w:eastAsia="宋体" w:hAnsi="宋体"/>
          <w:b/>
          <w:bCs/>
          <w:szCs w:val="21"/>
        </w:rPr>
      </w:pPr>
      <w:r>
        <w:rPr>
          <w:rFonts w:ascii="宋体" w:eastAsia="宋体" w:hAnsi="宋体" w:hint="eastAsia"/>
          <w:b/>
          <w:bCs/>
          <w:szCs w:val="21"/>
        </w:rPr>
        <w:t>25．上传投标文件及投标截止日期</w:t>
      </w:r>
    </w:p>
    <w:p>
      <w:pPr>
        <w:spacing w:line="360" w:lineRule="auto"/>
        <w:ind w:firstLine="412" w:firstLineChars="196"/>
        <w:rPr>
          <w:rFonts w:ascii="宋体" w:eastAsia="宋体" w:hAnsi="宋体"/>
          <w:szCs w:val="21"/>
        </w:rPr>
      </w:pPr>
      <w:r>
        <w:rPr>
          <w:rFonts w:ascii="宋体" w:eastAsia="宋体" w:hAnsi="宋体" w:hint="eastAsia"/>
          <w:szCs w:val="21"/>
        </w:rPr>
        <w:t>25</w:t>
      </w:r>
      <w:r>
        <w:rPr>
          <w:rFonts w:ascii="宋体" w:eastAsia="宋体" w:hAnsi="宋体"/>
          <w:szCs w:val="21"/>
        </w:rPr>
        <w:t>.</w:t>
      </w:r>
      <w:r>
        <w:rPr>
          <w:rFonts w:ascii="宋体" w:eastAsia="宋体" w:hAnsi="宋体" w:hint="eastAsia"/>
          <w:szCs w:val="21"/>
        </w:rPr>
        <w:t>1实行网上投标，</w:t>
      </w:r>
      <w:r>
        <w:rPr>
          <w:rFonts w:ascii="宋体" w:eastAsia="宋体" w:hAnsi="宋体"/>
          <w:szCs w:val="21"/>
        </w:rPr>
        <w:t>投标人必须</w:t>
      </w:r>
      <w:r>
        <w:rPr>
          <w:rFonts w:ascii="宋体" w:eastAsia="宋体" w:hAnsi="宋体" w:hint="eastAsia"/>
          <w:szCs w:val="21"/>
        </w:rPr>
        <w:t>在招标</w:t>
      </w:r>
      <w:r>
        <w:rPr>
          <w:rFonts w:ascii="宋体" w:eastAsia="宋体" w:hAnsi="宋体"/>
          <w:szCs w:val="21"/>
        </w:rPr>
        <w:t>文件规定的投标截止时间前</w:t>
      </w:r>
      <w:r>
        <w:rPr>
          <w:rFonts w:ascii="宋体" w:eastAsia="宋体" w:hAnsi="宋体" w:hint="eastAsia"/>
          <w:szCs w:val="21"/>
        </w:rPr>
        <w:t>用电子密钥登录“深圳政府采购智慧平台用户网上办事子系统（http://zfcg.szggzy.com/TPBidder/memberLogin）”，用“【我的项目】→【项目流程】→【递交投标(应答)文件】”功能点上传投标文件。</w:t>
      </w:r>
    </w:p>
    <w:p>
      <w:pPr>
        <w:spacing w:line="360" w:lineRule="auto"/>
        <w:ind w:firstLine="412" w:firstLineChars="196"/>
        <w:rPr>
          <w:rFonts w:ascii="宋体" w:eastAsia="宋体" w:hAnsi="宋体"/>
          <w:szCs w:val="21"/>
        </w:rPr>
      </w:pPr>
      <w:r>
        <w:rPr>
          <w:rFonts w:ascii="宋体" w:eastAsia="宋体" w:hAnsi="宋体" w:hint="eastAsia"/>
          <w:szCs w:val="21"/>
        </w:rPr>
        <w:t>25.2采购代理机构可以按本通用条款第13条规定，通过修改招标文件自行决定酌情延长投标截止期。在此情况下，采购代理机构、采购人和投标人受投标截止期制约的所有权利和义务均应延长至新的截止期。</w:t>
      </w:r>
    </w:p>
    <w:p>
      <w:pPr>
        <w:spacing w:line="360" w:lineRule="auto"/>
        <w:ind w:firstLine="412" w:firstLineChars="196"/>
        <w:rPr>
          <w:rFonts w:ascii="宋体" w:eastAsia="宋体" w:hAnsi="宋体"/>
          <w:szCs w:val="21"/>
        </w:rPr>
      </w:pPr>
      <w:r>
        <w:rPr>
          <w:rFonts w:ascii="宋体" w:eastAsia="宋体" w:hAnsi="宋体" w:hint="eastAsia"/>
          <w:szCs w:val="21"/>
        </w:rPr>
        <w:t>25</w:t>
      </w:r>
      <w:r>
        <w:rPr>
          <w:rFonts w:ascii="宋体" w:eastAsia="宋体" w:hAnsi="宋体"/>
          <w:szCs w:val="21"/>
        </w:rPr>
        <w:t>.</w:t>
      </w:r>
      <w:r>
        <w:rPr>
          <w:rFonts w:ascii="宋体" w:eastAsia="宋体" w:hAnsi="宋体" w:hint="eastAsia"/>
          <w:szCs w:val="21"/>
        </w:rPr>
        <w:t>3投标截止时间以后不得上传投标文件。</w:t>
      </w:r>
    </w:p>
    <w:p>
      <w:pPr>
        <w:spacing w:line="360" w:lineRule="auto"/>
        <w:ind w:firstLine="412" w:firstLineChars="196"/>
        <w:rPr>
          <w:rFonts w:ascii="宋体" w:eastAsia="宋体" w:hAnsi="宋体"/>
          <w:szCs w:val="21"/>
        </w:rPr>
      </w:pPr>
      <w:r>
        <w:rPr>
          <w:rFonts w:ascii="宋体" w:eastAsia="宋体" w:hAnsi="宋体" w:hint="eastAsia"/>
          <w:szCs w:val="21"/>
        </w:rPr>
        <w:t>25.4.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spacing w:line="360" w:lineRule="auto"/>
        <w:rPr>
          <w:rFonts w:ascii="宋体" w:eastAsia="宋体" w:hAnsi="宋体"/>
          <w:b/>
          <w:bCs/>
          <w:szCs w:val="21"/>
        </w:rPr>
      </w:pPr>
      <w:bookmarkEnd w:id="40"/>
      <w:r>
        <w:rPr>
          <w:rFonts w:ascii="宋体" w:eastAsia="宋体" w:hAnsi="宋体" w:hint="eastAsia"/>
          <w:b/>
          <w:bCs/>
          <w:szCs w:val="21"/>
        </w:rPr>
        <w:t>26. 样品、现场演示、方案讲解</w:t>
      </w:r>
    </w:p>
    <w:p>
      <w:pPr>
        <w:spacing w:line="360" w:lineRule="auto"/>
        <w:ind w:firstLine="412" w:firstLineChars="196"/>
        <w:rPr>
          <w:rFonts w:ascii="宋体" w:eastAsia="宋体" w:hAnsi="宋体"/>
          <w:szCs w:val="21"/>
        </w:rPr>
      </w:pPr>
      <w:r>
        <w:rPr>
          <w:rFonts w:ascii="宋体" w:eastAsia="宋体" w:hAnsi="宋体" w:hint="eastAsia"/>
          <w:szCs w:val="21"/>
        </w:rPr>
        <w:t>26.1 样品、现场演示、方案讲解等事项在招标文件专用条款中进行规定。</w:t>
      </w:r>
    </w:p>
    <w:p>
      <w:pPr>
        <w:spacing w:line="360" w:lineRule="auto"/>
        <w:rPr>
          <w:rFonts w:ascii="宋体" w:eastAsia="宋体" w:hAnsi="宋体"/>
          <w:b/>
          <w:bCs/>
          <w:szCs w:val="21"/>
        </w:rPr>
      </w:pPr>
      <w:bookmarkStart w:id="41" w:name="_Hlk72428346"/>
      <w:r>
        <w:rPr>
          <w:rFonts w:ascii="宋体" w:eastAsia="宋体" w:hAnsi="宋体"/>
          <w:b/>
          <w:bCs/>
          <w:szCs w:val="21"/>
        </w:rPr>
        <w:t>2</w:t>
      </w:r>
      <w:r>
        <w:rPr>
          <w:rFonts w:ascii="宋体" w:eastAsia="宋体" w:hAnsi="宋体" w:hint="eastAsia"/>
          <w:b/>
          <w:bCs/>
          <w:szCs w:val="21"/>
        </w:rPr>
        <w:t>7．</w:t>
      </w:r>
      <w:r>
        <w:rPr>
          <w:rFonts w:ascii="宋体" w:eastAsia="宋体" w:hAnsi="宋体"/>
          <w:b/>
          <w:bCs/>
          <w:szCs w:val="21"/>
        </w:rPr>
        <w:t>投标文件的修改和撤销</w:t>
      </w:r>
    </w:p>
    <w:p>
      <w:pPr>
        <w:spacing w:line="360" w:lineRule="auto"/>
        <w:ind w:firstLine="412" w:firstLineChars="196"/>
        <w:rPr>
          <w:rFonts w:ascii="宋体" w:eastAsia="宋体" w:hAnsi="宋体"/>
          <w:szCs w:val="21"/>
        </w:rPr>
      </w:pPr>
      <w:r>
        <w:rPr>
          <w:rFonts w:ascii="宋体" w:eastAsia="宋体" w:hAnsi="宋体"/>
          <w:szCs w:val="21"/>
        </w:rPr>
        <w:t>2</w:t>
      </w:r>
      <w:r>
        <w:rPr>
          <w:rFonts w:ascii="宋体" w:eastAsia="宋体" w:hAnsi="宋体" w:hint="eastAsia"/>
          <w:szCs w:val="21"/>
        </w:rPr>
        <w:t>7</w:t>
      </w:r>
      <w:r>
        <w:rPr>
          <w:rFonts w:ascii="宋体" w:eastAsia="宋体" w:hAnsi="宋体"/>
          <w:szCs w:val="21"/>
        </w:rPr>
        <w:t>.</w:t>
      </w:r>
      <w:r>
        <w:rPr>
          <w:rFonts w:ascii="宋体" w:eastAsia="宋体" w:hAnsi="宋体" w:hint="eastAsia"/>
          <w:szCs w:val="21"/>
        </w:rPr>
        <w:t>1</w:t>
      </w:r>
      <w:r>
        <w:rPr>
          <w:rFonts w:ascii="宋体" w:eastAsia="宋体" w:hAnsi="宋体"/>
          <w:szCs w:val="21"/>
        </w:rPr>
        <w:t>投标方在提交投标文件后可对其投标文件进行修改</w:t>
      </w:r>
      <w:r>
        <w:rPr>
          <w:rFonts w:ascii="宋体" w:eastAsia="宋体" w:hAnsi="宋体" w:hint="eastAsia"/>
          <w:szCs w:val="21"/>
        </w:rPr>
        <w:t>并重新上传投标文件</w:t>
      </w:r>
      <w:r>
        <w:rPr>
          <w:rFonts w:ascii="宋体" w:eastAsia="宋体" w:hAnsi="宋体"/>
          <w:szCs w:val="21"/>
        </w:rPr>
        <w:t>或</w:t>
      </w:r>
      <w:r>
        <w:rPr>
          <w:rFonts w:ascii="宋体" w:eastAsia="宋体" w:hAnsi="宋体" w:hint="eastAsia"/>
          <w:szCs w:val="21"/>
        </w:rPr>
        <w:t>在网上进行</w:t>
      </w:r>
      <w:r>
        <w:rPr>
          <w:rFonts w:ascii="宋体" w:eastAsia="宋体" w:hAnsi="宋体"/>
          <w:szCs w:val="21"/>
        </w:rPr>
        <w:t>撤销</w:t>
      </w:r>
      <w:r>
        <w:rPr>
          <w:rFonts w:ascii="宋体" w:eastAsia="宋体" w:hAnsi="宋体" w:hint="eastAsia"/>
          <w:szCs w:val="21"/>
        </w:rPr>
        <w:t>投标的操作</w:t>
      </w:r>
      <w:r>
        <w:rPr>
          <w:rFonts w:ascii="宋体" w:eastAsia="宋体" w:hAnsi="宋体"/>
          <w:szCs w:val="21"/>
        </w:rPr>
        <w:t>。</w:t>
      </w:r>
    </w:p>
    <w:p>
      <w:pPr>
        <w:spacing w:line="360" w:lineRule="auto"/>
        <w:ind w:firstLine="412" w:firstLineChars="196"/>
        <w:rPr>
          <w:rFonts w:ascii="宋体" w:eastAsia="宋体" w:hAnsi="宋体"/>
          <w:szCs w:val="21"/>
        </w:rPr>
      </w:pPr>
      <w:r>
        <w:rPr>
          <w:rFonts w:ascii="宋体" w:eastAsia="宋体" w:hAnsi="宋体"/>
          <w:szCs w:val="21"/>
        </w:rPr>
        <w:t>2</w:t>
      </w:r>
      <w:r>
        <w:rPr>
          <w:rFonts w:ascii="宋体" w:eastAsia="宋体" w:hAnsi="宋体" w:hint="eastAsia"/>
          <w:szCs w:val="21"/>
        </w:rPr>
        <w:t>7</w:t>
      </w:r>
      <w:r>
        <w:rPr>
          <w:rFonts w:ascii="宋体" w:eastAsia="宋体" w:hAnsi="宋体"/>
          <w:szCs w:val="21"/>
        </w:rPr>
        <w:t>.</w:t>
      </w:r>
      <w:r>
        <w:rPr>
          <w:rFonts w:ascii="宋体" w:eastAsia="宋体" w:hAnsi="宋体" w:hint="eastAsia"/>
          <w:szCs w:val="21"/>
        </w:rPr>
        <w:t>2</w:t>
      </w:r>
      <w:r>
        <w:rPr>
          <w:rFonts w:ascii="宋体" w:eastAsia="宋体" w:hAnsi="宋体"/>
          <w:szCs w:val="21"/>
        </w:rPr>
        <w:t>投标截止时间以后不得修改投标文件。</w:t>
      </w:r>
    </w:p>
    <w:p>
      <w:pPr>
        <w:spacing w:line="360" w:lineRule="auto"/>
        <w:ind w:firstLine="412" w:firstLineChars="196"/>
        <w:rPr>
          <w:rFonts w:ascii="宋体" w:eastAsia="宋体" w:hAnsi="宋体"/>
          <w:szCs w:val="21"/>
        </w:rPr>
      </w:pPr>
      <w:r>
        <w:rPr>
          <w:rFonts w:ascii="宋体" w:eastAsia="宋体" w:hAnsi="宋体"/>
          <w:szCs w:val="21"/>
        </w:rPr>
        <w:t>2</w:t>
      </w:r>
      <w:r>
        <w:rPr>
          <w:rFonts w:ascii="宋体" w:eastAsia="宋体" w:hAnsi="宋体" w:hint="eastAsia"/>
          <w:szCs w:val="21"/>
        </w:rPr>
        <w:t>7</w:t>
      </w:r>
      <w:r>
        <w:rPr>
          <w:rFonts w:ascii="宋体" w:eastAsia="宋体" w:hAnsi="宋体"/>
          <w:szCs w:val="21"/>
        </w:rPr>
        <w:t>.</w:t>
      </w:r>
      <w:r>
        <w:rPr>
          <w:rFonts w:ascii="宋体" w:eastAsia="宋体" w:hAnsi="宋体" w:hint="eastAsia"/>
          <w:szCs w:val="21"/>
        </w:rPr>
        <w:t>3从投标截止期至投标人在投标文件中确定的投标有效期之间的这段时间内，投标人不得撤回其投标。</w:t>
      </w:r>
    </w:p>
    <w:p>
      <w:pPr>
        <w:spacing w:line="360" w:lineRule="auto"/>
        <w:ind w:firstLine="412" w:firstLineChars="196"/>
        <w:rPr>
          <w:rFonts w:ascii="宋体" w:eastAsia="宋体" w:hAnsi="宋体"/>
          <w:szCs w:val="21"/>
        </w:rPr>
      </w:pPr>
      <w:r>
        <w:rPr>
          <w:rFonts w:ascii="宋体" w:eastAsia="宋体" w:hAnsi="宋体" w:hint="eastAsia"/>
          <w:szCs w:val="21"/>
        </w:rPr>
        <w:t>27.4采购代理机构不退还投标文件，专用条款另有规定的除外。</w:t>
      </w:r>
    </w:p>
    <w:p>
      <w:pPr>
        <w:keepNext/>
        <w:keepLines/>
        <w:widowControl/>
        <w:numPr>
          <w:ilvl w:val="0"/>
          <w:numId w:val="2"/>
        </w:numPr>
        <w:adjustRightInd w:val="0"/>
        <w:spacing w:before="156" w:beforeLines="50" w:after="156" w:afterLines="50" w:line="360" w:lineRule="auto"/>
        <w:ind w:left="562" w:hanging="562"/>
        <w:jc w:val="center"/>
        <w:textAlignment w:val="baseline"/>
        <w:outlineLvl w:val="1"/>
        <w:rPr>
          <w:rFonts w:ascii="宋体" w:eastAsia="宋体" w:hAnsi="宋体"/>
          <w:b/>
          <w:bCs/>
          <w:kern w:val="0"/>
          <w:sz w:val="28"/>
          <w:szCs w:val="28"/>
        </w:rPr>
      </w:pPr>
      <w:bookmarkEnd w:id="41"/>
      <w:r>
        <w:rPr>
          <w:rFonts w:ascii="宋体" w:eastAsia="宋体" w:hAnsi="宋体" w:hint="eastAsia"/>
          <w:b/>
          <w:bCs/>
          <w:kern w:val="0"/>
          <w:sz w:val="28"/>
          <w:szCs w:val="28"/>
        </w:rPr>
        <w:t>开标</w:t>
      </w:r>
    </w:p>
    <w:p>
      <w:pPr>
        <w:spacing w:line="360" w:lineRule="auto"/>
        <w:rPr>
          <w:rFonts w:ascii="宋体" w:eastAsia="宋体" w:hAnsi="宋体"/>
          <w:b/>
          <w:bCs/>
          <w:szCs w:val="21"/>
        </w:rPr>
      </w:pPr>
      <w:r>
        <w:rPr>
          <w:rFonts w:ascii="宋体" w:eastAsia="宋体" w:hAnsi="宋体" w:hint="eastAsia"/>
          <w:b/>
          <w:bCs/>
          <w:szCs w:val="21"/>
        </w:rPr>
        <w:t>28．开标</w:t>
      </w:r>
    </w:p>
    <w:p>
      <w:pPr>
        <w:spacing w:line="360" w:lineRule="auto"/>
        <w:ind w:firstLine="420" w:firstLineChars="200"/>
        <w:rPr>
          <w:rFonts w:ascii="宋体" w:eastAsia="宋体" w:hAnsi="宋体"/>
          <w:szCs w:val="21"/>
        </w:rPr>
      </w:pPr>
      <w:r>
        <w:rPr>
          <w:rFonts w:ascii="宋体" w:eastAsia="宋体" w:hAnsi="宋体"/>
          <w:szCs w:val="21"/>
        </w:rPr>
        <w:t>2</w:t>
      </w:r>
      <w:r>
        <w:rPr>
          <w:rFonts w:ascii="宋体" w:eastAsia="宋体" w:hAnsi="宋体" w:hint="eastAsia"/>
          <w:szCs w:val="21"/>
        </w:rPr>
        <w:t>8</w:t>
      </w:r>
      <w:r>
        <w:rPr>
          <w:rFonts w:ascii="宋体" w:eastAsia="宋体" w:hAnsi="宋体"/>
          <w:szCs w:val="21"/>
        </w:rPr>
        <w:t>.</w:t>
      </w:r>
      <w:r>
        <w:rPr>
          <w:rFonts w:ascii="宋体" w:eastAsia="宋体" w:hAnsi="宋体" w:hint="eastAsia"/>
          <w:szCs w:val="21"/>
        </w:rPr>
        <w:t>1投标人须在开标当日的开标时间至解密截止时间内进行解密，逾期未解密的作无效处理。解密方法：登录“深圳政府采购智慧平台用户网上办事子系统（</w:t>
      </w:r>
      <w:r>
        <w:rPr>
          <w:rFonts w:ascii="宋体" w:eastAsia="宋体" w:hAnsi="宋体"/>
          <w:szCs w:val="21"/>
        </w:rPr>
        <w:t>http://zfcg.szggzy.com/</w:t>
      </w:r>
      <w:r>
        <w:rPr>
          <w:rFonts w:ascii="宋体" w:eastAsia="宋体" w:hAnsi="宋体" w:hint="eastAsia"/>
          <w:szCs w:val="21"/>
        </w:rPr>
        <w:t>TPBidder/memberLogin）”，使用本单位制作电子投标文件同一个电子密钥，在“【我的项目】→【项目流程】→【开标及解密】”进行在线解密、查询开标情况。</w:t>
      </w:r>
    </w:p>
    <w:p>
      <w:pPr>
        <w:spacing w:line="360" w:lineRule="auto"/>
        <w:ind w:firstLine="359" w:firstLineChars="171"/>
        <w:rPr>
          <w:rFonts w:ascii="宋体" w:eastAsia="宋体" w:hAnsi="宋体"/>
          <w:szCs w:val="21"/>
        </w:rPr>
      </w:pPr>
      <w:r>
        <w:rPr>
          <w:rFonts w:ascii="宋体" w:eastAsia="宋体" w:hAnsi="宋体" w:hint="eastAsia"/>
          <w:szCs w:val="21"/>
        </w:rPr>
        <w:t>2</w:t>
      </w:r>
      <w:r>
        <w:rPr>
          <w:rFonts w:ascii="宋体" w:eastAsia="宋体" w:hAnsi="宋体"/>
          <w:szCs w:val="21"/>
        </w:rPr>
        <w:t xml:space="preserve">8.2 </w:t>
      </w:r>
      <w:r>
        <w:rPr>
          <w:rFonts w:ascii="宋体" w:eastAsia="宋体" w:hAnsi="宋体" w:hint="eastAsia"/>
          <w:szCs w:val="21"/>
        </w:rPr>
        <w:t>采购代理机构将在满足开标条件（</w:t>
      </w:r>
      <w:r>
        <w:rPr>
          <w:rFonts w:ascii="宋体" w:eastAsia="宋体" w:hAnsi="宋体" w:cs="宋体" w:hint="eastAsia"/>
          <w:color w:val="333333"/>
          <w:szCs w:val="21"/>
          <w:shd w:val="clear" w:color="auto" w:fill="FFFFFF"/>
        </w:rPr>
        <w:t>①</w:t>
      </w:r>
      <w:r>
        <w:rPr>
          <w:rFonts w:ascii="宋体" w:eastAsia="宋体" w:hAnsi="宋体" w:hint="eastAsia"/>
          <w:szCs w:val="21"/>
        </w:rPr>
        <w:t>解密时间结束，解密后的投标供应商数量满足开标要求或</w:t>
      </w:r>
      <w:r>
        <w:rPr>
          <w:rFonts w:ascii="宋体" w:eastAsia="宋体" w:hAnsi="宋体" w:cs="宋体" w:hint="eastAsia"/>
          <w:color w:val="333333"/>
          <w:szCs w:val="21"/>
          <w:shd w:val="clear" w:color="auto" w:fill="FFFFFF"/>
        </w:rPr>
        <w:t>②</w:t>
      </w:r>
      <w:r>
        <w:rPr>
          <w:rFonts w:ascii="宋体" w:eastAsia="宋体" w:hAnsi="宋体" w:hint="eastAsia"/>
          <w:szCs w:val="21"/>
        </w:rPr>
        <w:t>解密时间结束前所有投标供应商均完成投标文件解密）后，对投标文件进行开标，并在网上公布开标结果。</w:t>
      </w:r>
    </w:p>
    <w:p>
      <w:pPr>
        <w:keepNext/>
        <w:keepLines/>
        <w:widowControl/>
        <w:numPr>
          <w:ilvl w:val="0"/>
          <w:numId w:val="2"/>
        </w:numPr>
        <w:adjustRightInd w:val="0"/>
        <w:spacing w:before="156" w:beforeLines="50" w:after="156" w:afterLines="50" w:line="360" w:lineRule="auto"/>
        <w:ind w:left="562" w:hanging="562"/>
        <w:jc w:val="center"/>
        <w:textAlignment w:val="baseline"/>
        <w:outlineLvl w:val="1"/>
        <w:rPr>
          <w:rFonts w:ascii="宋体" w:eastAsia="宋体" w:hAnsi="宋体"/>
          <w:b/>
          <w:bCs/>
          <w:kern w:val="0"/>
          <w:sz w:val="28"/>
          <w:szCs w:val="28"/>
        </w:rPr>
      </w:pPr>
      <w:r>
        <w:rPr>
          <w:rFonts w:ascii="宋体" w:eastAsia="宋体" w:hAnsi="宋体" w:hint="eastAsia"/>
          <w:b/>
          <w:bCs/>
          <w:kern w:val="0"/>
          <w:sz w:val="28"/>
          <w:szCs w:val="28"/>
        </w:rPr>
        <w:t>评审要求</w:t>
      </w:r>
    </w:p>
    <w:p>
      <w:pPr>
        <w:spacing w:line="360" w:lineRule="auto"/>
        <w:rPr>
          <w:rFonts w:ascii="宋体" w:eastAsia="宋体" w:hAnsi="宋体"/>
          <w:b/>
          <w:bCs/>
          <w:szCs w:val="21"/>
        </w:rPr>
      </w:pPr>
      <w:r>
        <w:rPr>
          <w:rFonts w:ascii="宋体" w:eastAsia="宋体" w:hAnsi="宋体" w:hint="eastAsia"/>
          <w:b/>
          <w:bCs/>
          <w:szCs w:val="21"/>
        </w:rPr>
        <w:t>29．评审委员会组成</w:t>
      </w:r>
    </w:p>
    <w:p>
      <w:pPr>
        <w:spacing w:line="360" w:lineRule="auto"/>
        <w:ind w:firstLine="412" w:firstLineChars="196"/>
        <w:rPr>
          <w:rFonts w:ascii="宋体" w:eastAsia="宋体" w:hAnsi="宋体"/>
          <w:szCs w:val="21"/>
        </w:rPr>
      </w:pPr>
      <w:r>
        <w:rPr>
          <w:rFonts w:ascii="宋体" w:eastAsia="宋体" w:hAnsi="宋体" w:hint="eastAsia"/>
          <w:szCs w:val="21"/>
        </w:rPr>
        <w:t>29.1网上开标结束后召开评审会议，评审委员会由采购代理机构依法组建，负责评审活动。</w:t>
      </w:r>
    </w:p>
    <w:p>
      <w:pPr>
        <w:spacing w:line="360" w:lineRule="auto"/>
        <w:ind w:firstLine="412" w:firstLineChars="196"/>
        <w:rPr>
          <w:rFonts w:ascii="宋体" w:eastAsia="宋体" w:hAnsi="宋体"/>
          <w:szCs w:val="21"/>
        </w:rPr>
      </w:pPr>
      <w:bookmarkStart w:id="42" w:name="_Hlk72436580"/>
      <w:r>
        <w:rPr>
          <w:rFonts w:ascii="宋体" w:eastAsia="宋体" w:hAnsi="宋体" w:hint="eastAsia"/>
          <w:szCs w:val="21"/>
        </w:rPr>
        <w:t>评审委员会由采购人代表和评审专家组成，成员人数应当为5人以上单数（部分条件下为7人以上单数），其中评审专家不得少于成员总数的三分之二。</w:t>
      </w:r>
      <w:bookmarkEnd w:id="42"/>
      <w:r>
        <w:rPr>
          <w:rFonts w:ascii="宋体" w:eastAsia="宋体" w:hAnsi="宋体" w:hint="eastAsia"/>
          <w:szCs w:val="21"/>
        </w:rPr>
        <w:t>评定分离项目</w:t>
      </w:r>
      <w:r>
        <w:rPr>
          <w:rFonts w:ascii="宋体" w:eastAsia="宋体" w:hAnsi="宋体"/>
          <w:szCs w:val="21"/>
        </w:rPr>
        <w:t>评审专家</w:t>
      </w:r>
      <w:r>
        <w:rPr>
          <w:rFonts w:ascii="宋体" w:eastAsia="宋体" w:hAnsi="宋体" w:hint="eastAsia"/>
          <w:szCs w:val="21"/>
        </w:rPr>
        <w:t>均</w:t>
      </w:r>
      <w:r>
        <w:rPr>
          <w:rFonts w:ascii="宋体" w:eastAsia="宋体" w:hAnsi="宋体"/>
          <w:szCs w:val="21"/>
        </w:rPr>
        <w:t>由</w:t>
      </w:r>
      <w:r>
        <w:rPr>
          <w:rFonts w:ascii="宋体" w:eastAsia="宋体" w:hAnsi="宋体" w:hint="eastAsia"/>
          <w:szCs w:val="21"/>
        </w:rPr>
        <w:t>评审专家组成。评审专家一般是从深圳市政府采购评审专家库中随机抽取。采购人代表须持本单位签发的《评审授权书》参加评审。</w:t>
      </w:r>
    </w:p>
    <w:p>
      <w:pPr>
        <w:spacing w:line="360" w:lineRule="auto"/>
        <w:ind w:firstLine="412" w:firstLineChars="196"/>
        <w:rPr>
          <w:rFonts w:ascii="宋体" w:eastAsia="宋体" w:hAnsi="宋体"/>
          <w:szCs w:val="21"/>
        </w:rPr>
      </w:pPr>
      <w:r>
        <w:rPr>
          <w:rFonts w:ascii="宋体" w:eastAsia="宋体" w:hAnsi="宋体" w:hint="eastAsia"/>
          <w:szCs w:val="21"/>
        </w:rPr>
        <w:t>29.2评审定标应当遵循公平、公正、科学、择优的原则。</w:t>
      </w:r>
    </w:p>
    <w:p>
      <w:pPr>
        <w:spacing w:line="360" w:lineRule="auto"/>
        <w:ind w:firstLine="412" w:firstLineChars="196"/>
        <w:rPr>
          <w:rFonts w:ascii="宋体" w:eastAsia="宋体" w:hAnsi="宋体"/>
          <w:szCs w:val="21"/>
        </w:rPr>
      </w:pPr>
      <w:r>
        <w:rPr>
          <w:rFonts w:ascii="宋体" w:eastAsia="宋体" w:hAnsi="宋体" w:hint="eastAsia"/>
          <w:szCs w:val="21"/>
        </w:rPr>
        <w:t>29.3评审活动依法进行，任何单位和个人不得非法干预评标过程和结果。</w:t>
      </w:r>
    </w:p>
    <w:p>
      <w:pPr>
        <w:spacing w:line="360" w:lineRule="auto"/>
        <w:ind w:firstLine="412" w:firstLineChars="196"/>
        <w:rPr>
          <w:rFonts w:ascii="宋体" w:eastAsia="宋体" w:hAnsi="宋体"/>
          <w:szCs w:val="21"/>
        </w:rPr>
      </w:pPr>
      <w:r>
        <w:rPr>
          <w:rFonts w:ascii="宋体" w:eastAsia="宋体" w:hAnsi="宋体" w:hint="eastAsia"/>
          <w:szCs w:val="21"/>
        </w:rPr>
        <w:t>29.4评审过程中不允许违背评标程序或采用招标文件未载明的评标方法或评标因素进行评标。</w:t>
      </w:r>
    </w:p>
    <w:p>
      <w:pPr>
        <w:spacing w:line="360" w:lineRule="auto"/>
        <w:ind w:firstLine="412" w:firstLineChars="196"/>
        <w:rPr>
          <w:rFonts w:ascii="宋体" w:eastAsia="宋体" w:hAnsi="宋体"/>
          <w:bCs/>
          <w:szCs w:val="21"/>
        </w:rPr>
      </w:pPr>
      <w:r>
        <w:rPr>
          <w:rFonts w:ascii="宋体" w:eastAsia="宋体" w:hAnsi="宋体" w:hint="eastAsia"/>
          <w:bCs/>
          <w:szCs w:val="21"/>
        </w:rPr>
        <w:t>29.5 开标后，直到签订合同为止，凡属于对投标文件的审查、澄清、评价和比较的有关资料以及中标候选人的推荐情况、与评审有关的其他任何情况均严格保密（</w:t>
      </w:r>
      <w:r>
        <w:rPr>
          <w:rFonts w:ascii="宋体" w:eastAsia="宋体" w:hAnsi="宋体" w:hint="eastAsia"/>
          <w:szCs w:val="21"/>
        </w:rPr>
        <w:t>信息公开的内容除外</w:t>
      </w:r>
      <w:r>
        <w:rPr>
          <w:rFonts w:ascii="宋体" w:eastAsia="宋体" w:hAnsi="宋体" w:hint="eastAsia"/>
          <w:bCs/>
          <w:szCs w:val="21"/>
        </w:rPr>
        <w:t>）。</w:t>
      </w:r>
    </w:p>
    <w:p>
      <w:pPr>
        <w:spacing w:line="360" w:lineRule="auto"/>
        <w:rPr>
          <w:rFonts w:ascii="宋体" w:eastAsia="宋体" w:hAnsi="宋体"/>
          <w:b/>
          <w:bCs/>
          <w:szCs w:val="21"/>
        </w:rPr>
      </w:pPr>
      <w:r>
        <w:rPr>
          <w:rFonts w:ascii="宋体" w:eastAsia="宋体" w:hAnsi="宋体" w:hint="eastAsia"/>
          <w:b/>
          <w:bCs/>
          <w:szCs w:val="21"/>
        </w:rPr>
        <w:t>30．向评审委员会提供的资料</w:t>
      </w:r>
    </w:p>
    <w:p>
      <w:pPr>
        <w:spacing w:line="360" w:lineRule="auto"/>
        <w:ind w:firstLine="412" w:firstLineChars="196"/>
        <w:rPr>
          <w:rFonts w:ascii="宋体" w:eastAsia="宋体" w:hAnsi="宋体"/>
          <w:szCs w:val="21"/>
        </w:rPr>
      </w:pPr>
      <w:r>
        <w:rPr>
          <w:rFonts w:ascii="宋体" w:eastAsia="宋体" w:hAnsi="宋体" w:hint="eastAsia"/>
          <w:szCs w:val="21"/>
        </w:rPr>
        <w:t>30.1公开发布的招标文件，包括图纸、服务清单、答疑文件等；</w:t>
      </w:r>
    </w:p>
    <w:p>
      <w:pPr>
        <w:spacing w:line="360" w:lineRule="auto"/>
        <w:ind w:firstLine="412" w:firstLineChars="196"/>
        <w:rPr>
          <w:rFonts w:ascii="宋体" w:eastAsia="宋体" w:hAnsi="宋体"/>
          <w:szCs w:val="21"/>
        </w:rPr>
      </w:pPr>
      <w:r>
        <w:rPr>
          <w:rFonts w:ascii="宋体" w:eastAsia="宋体" w:hAnsi="宋体" w:hint="eastAsia"/>
          <w:szCs w:val="21"/>
        </w:rPr>
        <w:t>30.2其他评标必须的资料。</w:t>
      </w:r>
    </w:p>
    <w:p>
      <w:pPr>
        <w:spacing w:line="360" w:lineRule="auto"/>
        <w:ind w:firstLine="412" w:firstLineChars="196"/>
        <w:rPr>
          <w:rFonts w:ascii="宋体" w:eastAsia="宋体" w:hAnsi="宋体"/>
          <w:szCs w:val="21"/>
        </w:rPr>
      </w:pPr>
      <w:r>
        <w:rPr>
          <w:rFonts w:ascii="宋体" w:eastAsia="宋体" w:hAnsi="宋体" w:hint="eastAsia"/>
          <w:szCs w:val="21"/>
        </w:rPr>
        <w:t>30.3评审委员会应当认真研究招标文件，至少应了解熟悉以下内容：</w:t>
      </w:r>
    </w:p>
    <w:p>
      <w:pPr>
        <w:spacing w:line="360" w:lineRule="auto"/>
        <w:ind w:firstLine="412" w:firstLineChars="196"/>
        <w:rPr>
          <w:rFonts w:ascii="宋体" w:eastAsia="宋体" w:hAnsi="宋体"/>
          <w:szCs w:val="21"/>
        </w:rPr>
      </w:pPr>
      <w:r>
        <w:rPr>
          <w:rFonts w:ascii="宋体" w:eastAsia="宋体" w:hAnsi="宋体" w:hint="eastAsia"/>
          <w:szCs w:val="21"/>
        </w:rPr>
        <w:t>（1）招标的目的；</w:t>
      </w:r>
    </w:p>
    <w:p>
      <w:pPr>
        <w:spacing w:line="360" w:lineRule="auto"/>
        <w:ind w:firstLine="412" w:firstLineChars="196"/>
        <w:rPr>
          <w:rFonts w:ascii="宋体" w:eastAsia="宋体" w:hAnsi="宋体"/>
          <w:szCs w:val="21"/>
        </w:rPr>
      </w:pPr>
      <w:r>
        <w:rPr>
          <w:rFonts w:ascii="宋体" w:eastAsia="宋体" w:hAnsi="宋体" w:hint="eastAsia"/>
          <w:szCs w:val="21"/>
        </w:rPr>
        <w:t>（2）招标项目需求的范围和性质；</w:t>
      </w:r>
    </w:p>
    <w:p>
      <w:pPr>
        <w:spacing w:line="360" w:lineRule="auto"/>
        <w:ind w:firstLine="412" w:firstLineChars="196"/>
        <w:rPr>
          <w:rFonts w:ascii="宋体" w:eastAsia="宋体" w:hAnsi="宋体"/>
          <w:szCs w:val="21"/>
        </w:rPr>
      </w:pPr>
      <w:r>
        <w:rPr>
          <w:rFonts w:ascii="宋体" w:eastAsia="宋体" w:hAnsi="宋体" w:hint="eastAsia"/>
          <w:szCs w:val="21"/>
        </w:rPr>
        <w:t>（3）招标文件规定的投标人的资格、财政预算限额、商务条款；</w:t>
      </w:r>
    </w:p>
    <w:p>
      <w:pPr>
        <w:spacing w:line="360" w:lineRule="auto"/>
        <w:ind w:firstLine="412" w:firstLineChars="196"/>
        <w:rPr>
          <w:rFonts w:ascii="宋体" w:eastAsia="宋体" w:hAnsi="宋体"/>
          <w:szCs w:val="21"/>
        </w:rPr>
      </w:pPr>
      <w:r>
        <w:rPr>
          <w:rFonts w:ascii="宋体" w:eastAsia="宋体" w:hAnsi="宋体" w:hint="eastAsia"/>
          <w:szCs w:val="21"/>
        </w:rPr>
        <w:t>（4）招标文件规定的评标程序、评标方法和评标因素；</w:t>
      </w:r>
    </w:p>
    <w:p>
      <w:pPr>
        <w:spacing w:line="360" w:lineRule="auto"/>
        <w:ind w:firstLine="412" w:firstLineChars="196"/>
        <w:rPr>
          <w:rFonts w:ascii="宋体" w:eastAsia="宋体" w:hAnsi="宋体"/>
          <w:szCs w:val="21"/>
        </w:rPr>
      </w:pPr>
      <w:r>
        <w:rPr>
          <w:rFonts w:ascii="宋体" w:eastAsia="宋体" w:hAnsi="宋体" w:hint="eastAsia"/>
          <w:szCs w:val="21"/>
        </w:rPr>
        <w:t>（5）招标文件所列示的资格性审查表及符合性审查表。</w:t>
      </w:r>
    </w:p>
    <w:p>
      <w:pPr>
        <w:spacing w:line="360" w:lineRule="auto"/>
        <w:rPr>
          <w:rFonts w:ascii="宋体" w:eastAsia="宋体" w:hAnsi="宋体"/>
          <w:b/>
          <w:bCs/>
          <w:szCs w:val="21"/>
        </w:rPr>
      </w:pPr>
      <w:r>
        <w:rPr>
          <w:rFonts w:ascii="宋体" w:eastAsia="宋体" w:hAnsi="宋体" w:hint="eastAsia"/>
          <w:b/>
          <w:bCs/>
          <w:szCs w:val="21"/>
        </w:rPr>
        <w:t>31．独立评审</w:t>
      </w:r>
    </w:p>
    <w:p>
      <w:pPr>
        <w:spacing w:line="360" w:lineRule="auto"/>
        <w:ind w:firstLine="412" w:firstLineChars="196"/>
        <w:rPr>
          <w:rFonts w:ascii="宋体" w:eastAsia="宋体" w:hAnsi="宋体"/>
          <w:bCs/>
          <w:szCs w:val="21"/>
        </w:rPr>
      </w:pPr>
      <w:r>
        <w:rPr>
          <w:rFonts w:ascii="宋体" w:eastAsia="宋体" w:hAnsi="宋体" w:hint="eastAsia"/>
          <w:bCs/>
          <w:szCs w:val="21"/>
        </w:rPr>
        <w:t>3</w:t>
      </w:r>
      <w:r>
        <w:rPr>
          <w:rFonts w:ascii="宋体" w:eastAsia="宋体" w:hAnsi="宋体"/>
          <w:bCs/>
          <w:szCs w:val="21"/>
        </w:rPr>
        <w:t>1</w:t>
      </w:r>
      <w:r>
        <w:rPr>
          <w:rFonts w:ascii="宋体" w:eastAsia="宋体" w:hAnsi="宋体" w:hint="eastAsia"/>
          <w:bCs/>
          <w:szCs w:val="21"/>
        </w:rPr>
        <w:t>.1</w:t>
      </w:r>
      <w:r>
        <w:rPr>
          <w:rFonts w:ascii="宋体" w:eastAsia="宋体" w:hAnsi="宋体" w:hint="eastAsia"/>
          <w:szCs w:val="21"/>
        </w:rPr>
        <w:t>评审委员会</w:t>
      </w:r>
      <w:r>
        <w:rPr>
          <w:rFonts w:ascii="宋体" w:eastAsia="宋体" w:hAnsi="宋体" w:hint="eastAsia"/>
          <w:bCs/>
          <w:szCs w:val="21"/>
        </w:rPr>
        <w:t>成员的评标活动应当独立进行，并应遵循投标文件初审、澄清有关问题、比较与评价、确定中标供应商、编写评审报告的工作程序。</w:t>
      </w:r>
    </w:p>
    <w:p>
      <w:pPr>
        <w:keepNext/>
        <w:keepLines/>
        <w:widowControl/>
        <w:numPr>
          <w:ilvl w:val="0"/>
          <w:numId w:val="2"/>
        </w:numPr>
        <w:adjustRightInd w:val="0"/>
        <w:spacing w:before="156" w:beforeLines="50" w:after="156" w:afterLines="50" w:line="360" w:lineRule="auto"/>
        <w:ind w:left="562" w:hanging="562"/>
        <w:jc w:val="center"/>
        <w:textAlignment w:val="baseline"/>
        <w:outlineLvl w:val="1"/>
        <w:rPr>
          <w:rFonts w:ascii="宋体" w:eastAsia="宋体" w:hAnsi="宋体"/>
          <w:b/>
          <w:bCs/>
          <w:kern w:val="0"/>
          <w:sz w:val="28"/>
          <w:szCs w:val="28"/>
        </w:rPr>
      </w:pPr>
      <w:r>
        <w:rPr>
          <w:rFonts w:ascii="宋体" w:eastAsia="宋体" w:hAnsi="宋体" w:hint="eastAsia"/>
          <w:b/>
          <w:bCs/>
          <w:kern w:val="0"/>
          <w:sz w:val="28"/>
          <w:szCs w:val="28"/>
        </w:rPr>
        <w:t>评审程序及评审方法</w:t>
      </w:r>
    </w:p>
    <w:p>
      <w:pPr>
        <w:spacing w:line="360" w:lineRule="auto"/>
        <w:rPr>
          <w:rFonts w:ascii="宋体" w:eastAsia="宋体" w:hAnsi="宋体"/>
          <w:b/>
          <w:bCs/>
          <w:szCs w:val="21"/>
        </w:rPr>
      </w:pPr>
      <w:r>
        <w:rPr>
          <w:rFonts w:ascii="宋体" w:eastAsia="宋体" w:hAnsi="宋体" w:hint="eastAsia"/>
          <w:b/>
          <w:bCs/>
          <w:szCs w:val="21"/>
        </w:rPr>
        <w:t>32．投标文件初审</w:t>
      </w:r>
    </w:p>
    <w:p>
      <w:pPr>
        <w:spacing w:line="360" w:lineRule="auto"/>
        <w:ind w:firstLine="412" w:firstLineChars="196"/>
        <w:rPr>
          <w:rFonts w:ascii="宋体" w:eastAsia="宋体" w:hAnsi="宋体"/>
          <w:szCs w:val="21"/>
        </w:rPr>
      </w:pPr>
      <w:r>
        <w:rPr>
          <w:rFonts w:ascii="宋体" w:eastAsia="宋体" w:hAnsi="宋体" w:hint="eastAsia"/>
          <w:szCs w:val="21"/>
        </w:rPr>
        <w:t>32.1投标文件初审包括资格性审查和符合性审查。</w:t>
      </w:r>
    </w:p>
    <w:p>
      <w:pPr>
        <w:spacing w:line="360" w:lineRule="auto"/>
        <w:ind w:firstLine="412" w:firstLineChars="196"/>
        <w:rPr>
          <w:rFonts w:ascii="宋体" w:eastAsia="宋体" w:hAnsi="宋体"/>
          <w:szCs w:val="21"/>
        </w:rPr>
      </w:pPr>
      <w:r>
        <w:rPr>
          <w:rFonts w:ascii="宋体" w:eastAsia="宋体" w:hAnsi="宋体" w:hint="eastAsia"/>
          <w:szCs w:val="21"/>
        </w:rPr>
        <w:t>资格性审查：依据法律法规和招标文件的规定，对投标文件中的资格证明等进行审查，以确定投标供应商是否具备投标资格。</w:t>
      </w:r>
    </w:p>
    <w:p>
      <w:pPr>
        <w:spacing w:line="360" w:lineRule="auto"/>
        <w:ind w:firstLine="412" w:firstLineChars="196"/>
        <w:rPr>
          <w:rFonts w:ascii="宋体" w:eastAsia="宋体" w:hAnsi="宋体"/>
          <w:szCs w:val="21"/>
        </w:rPr>
      </w:pPr>
      <w:r>
        <w:rPr>
          <w:rFonts w:ascii="宋体" w:eastAsia="宋体" w:hAnsi="宋体" w:hint="eastAsia"/>
          <w:szCs w:val="21"/>
        </w:rPr>
        <w:t>符合性审查：依据招标文件的规定，对投标文件的有效性、完整性和对招标文件的响应程度进行审查，以确定是否满足符合性审查的要求。</w:t>
      </w:r>
    </w:p>
    <w:p>
      <w:pPr>
        <w:spacing w:line="360" w:lineRule="auto"/>
        <w:ind w:firstLine="412" w:firstLineChars="196"/>
        <w:rPr>
          <w:rFonts w:ascii="宋体" w:eastAsia="宋体" w:hAnsi="宋体"/>
          <w:szCs w:val="21"/>
        </w:rPr>
      </w:pPr>
      <w:r>
        <w:rPr>
          <w:rFonts w:ascii="宋体" w:eastAsia="宋体" w:hAnsi="宋体" w:hint="eastAsia"/>
          <w:szCs w:val="21"/>
        </w:rPr>
        <w:t>32.2 投标文件初审内容请详见《资格性审查表》和《符合性审查表》部分。投标人若有一条审查不通过则按投标无效处理。</w:t>
      </w:r>
    </w:p>
    <w:p>
      <w:pPr>
        <w:spacing w:line="360" w:lineRule="auto"/>
        <w:ind w:firstLine="412" w:firstLineChars="196"/>
        <w:rPr>
          <w:rFonts w:ascii="宋体" w:eastAsia="宋体" w:hAnsi="宋体"/>
          <w:bCs/>
          <w:szCs w:val="21"/>
        </w:rPr>
      </w:pPr>
      <w:r>
        <w:rPr>
          <w:rFonts w:ascii="宋体" w:eastAsia="宋体" w:hAnsi="宋体" w:hint="eastAsia"/>
          <w:bCs/>
          <w:szCs w:val="21"/>
        </w:rPr>
        <w:t>32.3 投标文件初审中关于供应商家数的计算:</w:t>
      </w:r>
    </w:p>
    <w:p>
      <w:pPr>
        <w:spacing w:line="360" w:lineRule="auto"/>
        <w:ind w:firstLine="412" w:firstLineChars="196"/>
        <w:rPr>
          <w:rFonts w:ascii="宋体" w:eastAsia="宋体" w:hAnsi="宋体"/>
          <w:bCs/>
          <w:szCs w:val="21"/>
        </w:rPr>
      </w:pPr>
      <w:r>
        <w:rPr>
          <w:rFonts w:ascii="宋体" w:eastAsia="宋体" w:hAnsi="宋体" w:hint="eastAsia"/>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spacing w:line="360" w:lineRule="auto"/>
        <w:ind w:firstLine="412" w:firstLineChars="196"/>
        <w:rPr>
          <w:rFonts w:ascii="宋体" w:eastAsia="宋体" w:hAnsi="宋体"/>
          <w:bCs/>
          <w:szCs w:val="21"/>
        </w:rPr>
      </w:pPr>
      <w:r>
        <w:rPr>
          <w:rFonts w:ascii="宋体" w:eastAsia="宋体" w:hAnsi="宋体" w:hint="eastAsia"/>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spacing w:line="360" w:lineRule="auto"/>
        <w:ind w:firstLine="412" w:firstLineChars="196"/>
        <w:rPr>
          <w:rFonts w:ascii="宋体" w:eastAsia="宋体" w:hAnsi="宋体"/>
          <w:bCs/>
          <w:szCs w:val="21"/>
        </w:rPr>
      </w:pPr>
      <w:r>
        <w:rPr>
          <w:rFonts w:ascii="宋体" w:eastAsia="宋体" w:hAnsi="宋体" w:hint="eastAsia"/>
          <w:bCs/>
          <w:szCs w:val="21"/>
        </w:rPr>
        <w:t>32.3.3非单一产品采购项目，采购人应当根据采购项目技术构成、产品价格比重等合理确定核心产品，并在招标文件中载明。多家投标人提供的核心产品品牌相同的，按前两款规定处理。</w:t>
      </w:r>
    </w:p>
    <w:p>
      <w:pPr>
        <w:spacing w:line="360" w:lineRule="auto"/>
        <w:ind w:firstLine="412" w:firstLineChars="196"/>
        <w:rPr>
          <w:rFonts w:ascii="宋体" w:eastAsia="宋体" w:hAnsi="宋体"/>
          <w:szCs w:val="21"/>
        </w:rPr>
      </w:pPr>
      <w:r>
        <w:rPr>
          <w:rFonts w:ascii="宋体" w:eastAsia="宋体" w:hAnsi="宋体" w:hint="eastAsia"/>
          <w:szCs w:val="21"/>
        </w:rPr>
        <w:t>32.4投标人投标文件作无效处理的情形，具体包括但不限于以下：</w:t>
      </w:r>
    </w:p>
    <w:p>
      <w:pPr>
        <w:spacing w:line="360" w:lineRule="auto"/>
        <w:ind w:firstLine="412" w:firstLineChars="196"/>
        <w:rPr>
          <w:rFonts w:ascii="宋体" w:eastAsia="宋体" w:hAnsi="宋体"/>
          <w:szCs w:val="21"/>
        </w:rPr>
      </w:pPr>
      <w:r>
        <w:rPr>
          <w:rFonts w:ascii="宋体" w:eastAsia="宋体" w:hAnsi="宋体" w:hint="eastAsia"/>
          <w:szCs w:val="21"/>
        </w:rPr>
        <w:t>32.4.1不同投标人的投标文件由同一单位或者同一个人编制，或者由同一个人分阶段参与编制；</w:t>
      </w:r>
    </w:p>
    <w:p>
      <w:pPr>
        <w:spacing w:line="360" w:lineRule="auto"/>
        <w:ind w:firstLine="412" w:firstLineChars="196"/>
        <w:rPr>
          <w:rFonts w:ascii="宋体" w:eastAsia="宋体" w:hAnsi="宋体"/>
          <w:szCs w:val="21"/>
        </w:rPr>
      </w:pPr>
      <w:r>
        <w:rPr>
          <w:rFonts w:ascii="宋体" w:eastAsia="宋体" w:hAnsi="宋体"/>
          <w:szCs w:val="21"/>
        </w:rPr>
        <w:t>32.4.</w:t>
      </w:r>
      <w:r>
        <w:rPr>
          <w:rFonts w:ascii="宋体" w:eastAsia="宋体" w:hAnsi="宋体" w:hint="eastAsia"/>
          <w:szCs w:val="21"/>
        </w:rPr>
        <w:t>2不同投标人委托同一单位或者个人办理投标事宜；</w:t>
      </w:r>
    </w:p>
    <w:p>
      <w:pPr>
        <w:spacing w:line="360" w:lineRule="auto"/>
        <w:ind w:firstLine="412" w:firstLineChars="196"/>
        <w:rPr>
          <w:rFonts w:ascii="宋体" w:eastAsia="宋体" w:hAnsi="宋体"/>
          <w:szCs w:val="21"/>
        </w:rPr>
      </w:pPr>
      <w:r>
        <w:rPr>
          <w:rFonts w:ascii="宋体" w:eastAsia="宋体" w:hAnsi="宋体" w:hint="eastAsia"/>
          <w:szCs w:val="21"/>
        </w:rPr>
        <w:t>32.4.3不同投标人的投标文件载明的项目管理成员或者联系人员为同一人；</w:t>
      </w:r>
    </w:p>
    <w:p>
      <w:pPr>
        <w:spacing w:line="360" w:lineRule="auto"/>
        <w:ind w:firstLine="412" w:firstLineChars="196"/>
        <w:rPr>
          <w:rFonts w:ascii="宋体" w:eastAsia="宋体" w:hAnsi="宋体"/>
          <w:szCs w:val="21"/>
        </w:rPr>
      </w:pPr>
      <w:r>
        <w:rPr>
          <w:rFonts w:ascii="宋体" w:eastAsia="宋体" w:hAnsi="宋体" w:hint="eastAsia"/>
          <w:szCs w:val="21"/>
        </w:rPr>
        <w:t>32.4.4不同投标人的投标文件异常一致或者投标报价呈规律性差异；</w:t>
      </w:r>
    </w:p>
    <w:p>
      <w:pPr>
        <w:spacing w:line="360" w:lineRule="auto"/>
        <w:ind w:firstLine="412" w:firstLineChars="196"/>
        <w:rPr>
          <w:rFonts w:ascii="宋体" w:eastAsia="宋体" w:hAnsi="宋体"/>
          <w:szCs w:val="21"/>
        </w:rPr>
      </w:pPr>
      <w:r>
        <w:rPr>
          <w:rFonts w:ascii="宋体" w:eastAsia="宋体" w:hAnsi="宋体" w:hint="eastAsia"/>
          <w:szCs w:val="21"/>
        </w:rPr>
        <w:t>32.4.5</w:t>
      </w:r>
      <w:r>
        <w:rPr>
          <w:rFonts w:ascii="宋体" w:eastAsia="宋体" w:hAnsi="宋体"/>
          <w:szCs w:val="21"/>
        </w:rPr>
        <w:t>不同投标供应商的投标文件或部分投标文件相互混装</w:t>
      </w:r>
      <w:r>
        <w:rPr>
          <w:rFonts w:ascii="宋体" w:eastAsia="宋体" w:hAnsi="宋体" w:hint="eastAsia"/>
          <w:szCs w:val="21"/>
        </w:rPr>
        <w:t>；</w:t>
      </w:r>
    </w:p>
    <w:p>
      <w:pPr>
        <w:spacing w:line="360" w:lineRule="auto"/>
        <w:ind w:firstLine="412" w:firstLineChars="196"/>
        <w:rPr>
          <w:rFonts w:ascii="宋体" w:eastAsia="宋体" w:hAnsi="宋体"/>
          <w:szCs w:val="21"/>
        </w:rPr>
      </w:pPr>
      <w:r>
        <w:rPr>
          <w:rFonts w:ascii="宋体" w:eastAsia="宋体" w:hAnsi="宋体" w:hint="eastAsia"/>
          <w:szCs w:val="21"/>
        </w:rPr>
        <w:t>32.4.6投标供应商之间相互约定给予未中标的供应商利益补偿；</w:t>
      </w:r>
    </w:p>
    <w:p>
      <w:pPr>
        <w:spacing w:line="360" w:lineRule="auto"/>
        <w:ind w:firstLine="412" w:firstLineChars="196"/>
        <w:rPr>
          <w:rFonts w:ascii="宋体" w:eastAsia="宋体" w:hAnsi="宋体"/>
          <w:szCs w:val="21"/>
        </w:rPr>
      </w:pPr>
      <w:r>
        <w:rPr>
          <w:rFonts w:ascii="宋体" w:eastAsia="宋体" w:hAnsi="宋体" w:hint="eastAsia"/>
          <w:szCs w:val="21"/>
        </w:rPr>
        <w:t>32.4.7不同投标供应商的法定代表人、主要经营负责人、项目投标授权代表人、项目负责人、主要技术人员为同一人、属同一单位或者同一单位缴纳社会保险；</w:t>
      </w:r>
    </w:p>
    <w:p>
      <w:pPr>
        <w:spacing w:line="360" w:lineRule="auto"/>
        <w:ind w:firstLine="412" w:firstLineChars="196"/>
        <w:rPr>
          <w:rFonts w:ascii="宋体" w:eastAsia="宋体" w:hAnsi="宋体"/>
          <w:szCs w:val="21"/>
        </w:rPr>
      </w:pPr>
      <w:r>
        <w:rPr>
          <w:rFonts w:ascii="宋体" w:eastAsia="宋体" w:hAnsi="宋体" w:hint="eastAsia"/>
          <w:szCs w:val="21"/>
        </w:rPr>
        <w:t>32.4.8不同投标供应商的投标文件内容存在非正常一致；</w:t>
      </w:r>
    </w:p>
    <w:p>
      <w:pPr>
        <w:spacing w:line="360" w:lineRule="auto"/>
        <w:ind w:firstLine="412" w:firstLineChars="196"/>
        <w:rPr>
          <w:rFonts w:ascii="宋体" w:eastAsia="宋体" w:hAnsi="宋体"/>
          <w:szCs w:val="21"/>
        </w:rPr>
      </w:pPr>
      <w:r>
        <w:rPr>
          <w:rFonts w:ascii="宋体" w:eastAsia="宋体" w:hAnsi="宋体" w:hint="eastAsia"/>
          <w:szCs w:val="21"/>
        </w:rPr>
        <w:t>32.4.9在同一单位工作人员为两家以上（含两家）供应商进行同一项投标活动；</w:t>
      </w:r>
    </w:p>
    <w:p>
      <w:pPr>
        <w:spacing w:line="360" w:lineRule="auto"/>
        <w:ind w:firstLine="412" w:firstLineChars="196"/>
        <w:rPr>
          <w:rFonts w:ascii="宋体" w:eastAsia="宋体" w:hAnsi="宋体"/>
          <w:szCs w:val="21"/>
        </w:rPr>
      </w:pPr>
      <w:r>
        <w:rPr>
          <w:rFonts w:ascii="宋体" w:eastAsia="宋体" w:hAnsi="宋体" w:hint="eastAsia"/>
          <w:szCs w:val="21"/>
        </w:rPr>
        <w:t>32.4.10主管部门依照法律、法规认定的其他情形。</w:t>
      </w:r>
    </w:p>
    <w:p>
      <w:pPr>
        <w:spacing w:line="360" w:lineRule="auto"/>
        <w:ind w:firstLine="412" w:firstLineChars="196"/>
        <w:rPr>
          <w:rFonts w:ascii="宋体" w:eastAsia="宋体" w:hAnsi="宋体"/>
          <w:szCs w:val="21"/>
        </w:rPr>
      </w:pPr>
      <w:r>
        <w:rPr>
          <w:rFonts w:ascii="宋体" w:eastAsia="宋体" w:hAnsi="宋体" w:hint="eastAsia"/>
          <w:szCs w:val="21"/>
        </w:rPr>
        <w:t>32.5对不属于《资格性审查表》和《符合性审查表》所列的其他情形，除专用条款另有规定和32.4条款所列情形外，不得作为投标无效的理由。</w:t>
      </w:r>
    </w:p>
    <w:p>
      <w:pPr>
        <w:spacing w:line="360" w:lineRule="auto"/>
        <w:rPr>
          <w:rFonts w:ascii="宋体" w:eastAsia="宋体" w:hAnsi="宋体"/>
          <w:b/>
          <w:bCs/>
          <w:szCs w:val="21"/>
        </w:rPr>
      </w:pPr>
      <w:r>
        <w:rPr>
          <w:rFonts w:ascii="宋体" w:eastAsia="宋体" w:hAnsi="宋体" w:hint="eastAsia"/>
          <w:b/>
          <w:bCs/>
          <w:szCs w:val="21"/>
        </w:rPr>
        <w:t>33．澄清有关问题</w:t>
      </w:r>
    </w:p>
    <w:p>
      <w:pPr>
        <w:spacing w:line="360" w:lineRule="auto"/>
        <w:ind w:firstLine="412" w:firstLineChars="196"/>
        <w:rPr>
          <w:rFonts w:ascii="宋体" w:eastAsia="宋体" w:hAnsi="宋体"/>
          <w:szCs w:val="21"/>
        </w:rPr>
      </w:pPr>
      <w:bookmarkStart w:id="43" w:name="_Hlk71407321"/>
      <w:r>
        <w:rPr>
          <w:rFonts w:ascii="宋体" w:eastAsia="宋体" w:hAnsi="宋体" w:hint="eastAsia"/>
          <w:szCs w:val="21"/>
        </w:rPr>
        <w:t>3</w:t>
      </w:r>
      <w:r>
        <w:rPr>
          <w:rFonts w:ascii="宋体" w:eastAsia="宋体" w:hAnsi="宋体"/>
          <w:szCs w:val="21"/>
        </w:rPr>
        <w:t>3.1</w:t>
      </w:r>
      <w:r>
        <w:rPr>
          <w:rFonts w:ascii="宋体" w:eastAsia="宋体" w:hAnsi="宋体" w:hint="eastAsia"/>
          <w:szCs w:val="21"/>
        </w:rPr>
        <w:t>对招标文件中描述有歧义或前后不一致的地方（不含</w:t>
      </w:r>
      <w:r>
        <w:rPr>
          <w:rFonts w:ascii="宋体" w:eastAsia="宋体" w:hAnsi="宋体"/>
          <w:szCs w:val="21"/>
        </w:rPr>
        <w:t>招标文件存在歧义、重大缺陷导致评</w:t>
      </w:r>
      <w:r>
        <w:rPr>
          <w:rFonts w:ascii="宋体" w:eastAsia="宋体" w:hAnsi="宋体" w:hint="eastAsia"/>
          <w:szCs w:val="21"/>
        </w:rPr>
        <w:t>审</w:t>
      </w:r>
      <w:r>
        <w:rPr>
          <w:rFonts w:ascii="宋体" w:eastAsia="宋体" w:hAnsi="宋体"/>
          <w:szCs w:val="21"/>
        </w:rPr>
        <w:t>工作无法进行</w:t>
      </w:r>
      <w:r>
        <w:rPr>
          <w:rFonts w:ascii="宋体" w:eastAsia="宋体" w:hAnsi="宋体" w:hint="eastAsia"/>
          <w:szCs w:val="21"/>
        </w:rPr>
        <w:t>的情况），评审委员会有权进行评判，但对同一条款的评判应适用于每个投标人。</w:t>
      </w:r>
      <w:bookmarkEnd w:id="43"/>
    </w:p>
    <w:p>
      <w:pPr>
        <w:spacing w:line="360" w:lineRule="auto"/>
        <w:ind w:firstLine="412" w:firstLineChars="196"/>
        <w:rPr>
          <w:rFonts w:ascii="宋体" w:eastAsia="宋体" w:hAnsi="宋体"/>
          <w:szCs w:val="21"/>
        </w:rPr>
      </w:pPr>
      <w:r>
        <w:rPr>
          <w:rFonts w:ascii="宋体" w:eastAsia="宋体" w:hAnsi="宋体" w:hint="eastAsia"/>
          <w:szCs w:val="21"/>
        </w:rPr>
        <w:t>3</w:t>
      </w:r>
      <w:r>
        <w:rPr>
          <w:rFonts w:ascii="宋体" w:eastAsia="宋体" w:hAnsi="宋体"/>
          <w:szCs w:val="21"/>
        </w:rPr>
        <w:t>3.2评</w:t>
      </w:r>
      <w:r>
        <w:rPr>
          <w:rFonts w:ascii="宋体" w:eastAsia="宋体" w:hAnsi="宋体" w:hint="eastAsia"/>
          <w:szCs w:val="21"/>
        </w:rPr>
        <w:t>审</w:t>
      </w:r>
      <w:r>
        <w:rPr>
          <w:rFonts w:ascii="宋体" w:eastAsia="宋体" w:hAnsi="宋体"/>
          <w:szCs w:val="21"/>
        </w:rPr>
        <w:t>委员会发现招标文件存在歧义、重大缺陷导致评</w:t>
      </w:r>
      <w:r>
        <w:rPr>
          <w:rFonts w:ascii="宋体" w:eastAsia="宋体" w:hAnsi="宋体" w:hint="eastAsia"/>
          <w:szCs w:val="21"/>
        </w:rPr>
        <w:t>审</w:t>
      </w:r>
      <w:r>
        <w:rPr>
          <w:rFonts w:ascii="宋体" w:eastAsia="宋体" w:hAnsi="宋体"/>
          <w:szCs w:val="21"/>
        </w:rPr>
        <w:t>工作无法进行，或者招标文件内容违反国家有关强制性规定的，应当停止评</w:t>
      </w:r>
      <w:r>
        <w:rPr>
          <w:rFonts w:ascii="宋体" w:eastAsia="宋体" w:hAnsi="宋体" w:hint="eastAsia"/>
          <w:szCs w:val="21"/>
        </w:rPr>
        <w:t>审</w:t>
      </w:r>
      <w:r>
        <w:rPr>
          <w:rFonts w:ascii="宋体" w:eastAsia="宋体" w:hAnsi="宋体"/>
          <w:szCs w:val="21"/>
        </w:rPr>
        <w:t>工作，与</w:t>
      </w:r>
      <w:r>
        <w:rPr>
          <w:rFonts w:ascii="宋体" w:eastAsia="宋体" w:hAnsi="宋体" w:hint="eastAsia"/>
          <w:szCs w:val="21"/>
        </w:rPr>
        <w:t>采购代理机构</w:t>
      </w:r>
      <w:r>
        <w:rPr>
          <w:rFonts w:ascii="宋体" w:eastAsia="宋体" w:hAnsi="宋体"/>
          <w:szCs w:val="21"/>
        </w:rPr>
        <w:t>沟通并作书面记录。</w:t>
      </w:r>
      <w:r>
        <w:rPr>
          <w:rFonts w:ascii="宋体" w:eastAsia="宋体" w:hAnsi="宋体" w:hint="eastAsia"/>
          <w:szCs w:val="21"/>
        </w:rPr>
        <w:t>经</w:t>
      </w:r>
      <w:r>
        <w:rPr>
          <w:rFonts w:ascii="宋体" w:eastAsia="宋体" w:hAnsi="宋体"/>
          <w:szCs w:val="21"/>
        </w:rPr>
        <w:t>确认后，</w:t>
      </w:r>
      <w:r>
        <w:rPr>
          <w:rFonts w:ascii="宋体" w:eastAsia="宋体" w:hAnsi="宋体" w:hint="eastAsia"/>
          <w:szCs w:val="21"/>
        </w:rPr>
        <w:t>项目</w:t>
      </w:r>
      <w:r>
        <w:rPr>
          <w:rFonts w:ascii="宋体" w:eastAsia="宋体" w:hAnsi="宋体"/>
          <w:szCs w:val="21"/>
        </w:rPr>
        <w:t>应当修改招标文件，重新组织采购活动。</w:t>
      </w:r>
    </w:p>
    <w:p>
      <w:pPr>
        <w:spacing w:line="360" w:lineRule="auto"/>
        <w:ind w:firstLine="412" w:firstLineChars="196"/>
        <w:rPr>
          <w:rFonts w:ascii="宋体" w:eastAsia="宋体" w:hAnsi="宋体"/>
          <w:szCs w:val="21"/>
        </w:rPr>
      </w:pPr>
      <w:r>
        <w:rPr>
          <w:rFonts w:ascii="宋体" w:eastAsia="宋体" w:hAnsi="宋体"/>
          <w:szCs w:val="21"/>
        </w:rPr>
        <w:t>33.3</w:t>
      </w:r>
      <w:r>
        <w:rPr>
          <w:rFonts w:ascii="宋体" w:eastAsia="宋体" w:hAnsi="宋体" w:hint="eastAsia"/>
          <w:szCs w:val="21"/>
        </w:rPr>
        <w:t>对于投标文件中含义不明确、同类问题表述不一致或者有明显文字和计算错误的内容，评审委员会应当以书面形式要求投标人作出必要的澄清、说明或者补正。</w:t>
      </w:r>
    </w:p>
    <w:p>
      <w:pPr>
        <w:spacing w:line="360" w:lineRule="auto"/>
        <w:ind w:firstLine="412" w:firstLineChars="196"/>
        <w:rPr>
          <w:rFonts w:ascii="宋体" w:eastAsia="宋体" w:hAnsi="宋体"/>
          <w:szCs w:val="21"/>
        </w:rPr>
      </w:pPr>
      <w:r>
        <w:rPr>
          <w:rFonts w:ascii="宋体" w:eastAsia="宋体" w:hAnsi="宋体" w:hint="eastAsia"/>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spacing w:line="360" w:lineRule="auto"/>
        <w:ind w:firstLine="412" w:firstLineChars="196"/>
        <w:rPr>
          <w:rFonts w:ascii="宋体" w:eastAsia="宋体" w:hAnsi="宋体"/>
          <w:szCs w:val="21"/>
        </w:rPr>
      </w:pPr>
      <w:r>
        <w:rPr>
          <w:rFonts w:ascii="宋体" w:eastAsia="宋体" w:hAnsi="宋体" w:hint="eastAsia"/>
          <w:szCs w:val="21"/>
        </w:rPr>
        <w:t>根据本通用条款第34条，凡属于评审委员会在评审中发现的算术错误进行核实的修改不在此列。</w:t>
      </w:r>
    </w:p>
    <w:p>
      <w:pPr>
        <w:spacing w:line="360" w:lineRule="auto"/>
        <w:rPr>
          <w:rFonts w:ascii="宋体" w:eastAsia="宋体" w:hAnsi="宋体"/>
          <w:b/>
          <w:bCs/>
          <w:szCs w:val="21"/>
        </w:rPr>
      </w:pPr>
      <w:bookmarkStart w:id="44" w:name="_Toc73517673"/>
      <w:bookmarkStart w:id="45" w:name="_Toc73518151"/>
      <w:bookmarkStart w:id="46" w:name="_Toc73521669"/>
      <w:bookmarkStart w:id="47" w:name="_Toc100052400"/>
      <w:bookmarkStart w:id="48" w:name="_Toc73521581"/>
      <w:r>
        <w:rPr>
          <w:rFonts w:ascii="宋体" w:eastAsia="宋体" w:hAnsi="宋体" w:hint="eastAsia"/>
          <w:b/>
          <w:bCs/>
          <w:szCs w:val="21"/>
        </w:rPr>
        <w:t>34．错误的修正</w:t>
      </w:r>
      <w:bookmarkEnd w:id="44"/>
      <w:bookmarkEnd w:id="45"/>
      <w:bookmarkEnd w:id="46"/>
      <w:bookmarkEnd w:id="47"/>
      <w:bookmarkEnd w:id="48"/>
    </w:p>
    <w:p>
      <w:pPr>
        <w:spacing w:line="360" w:lineRule="auto"/>
        <w:ind w:firstLine="412" w:firstLineChars="196"/>
        <w:rPr>
          <w:rFonts w:ascii="宋体" w:eastAsia="宋体" w:hAnsi="宋体"/>
          <w:szCs w:val="21"/>
        </w:rPr>
      </w:pPr>
      <w:r>
        <w:rPr>
          <w:rFonts w:ascii="宋体" w:eastAsia="宋体" w:hAnsi="宋体" w:hint="eastAsia"/>
          <w:szCs w:val="21"/>
        </w:rPr>
        <w:t>投标文件报价出现前后不一致的，除专用条款另有规定外，按照下列规定修正：</w:t>
      </w:r>
    </w:p>
    <w:p>
      <w:pPr>
        <w:spacing w:line="360" w:lineRule="auto"/>
        <w:ind w:firstLine="412" w:firstLineChars="196"/>
        <w:rPr>
          <w:rFonts w:ascii="宋体" w:eastAsia="宋体" w:hAnsi="宋体"/>
          <w:szCs w:val="21"/>
        </w:rPr>
      </w:pPr>
      <w:r>
        <w:rPr>
          <w:rFonts w:ascii="宋体" w:eastAsia="宋体" w:hAnsi="宋体" w:hint="eastAsia"/>
          <w:szCs w:val="21"/>
        </w:rPr>
        <w:t>34.1投标文件中开标一览表投标报价内容与投标文件中投标报价相应内容不一致的，以开标一览表为准；</w:t>
      </w:r>
    </w:p>
    <w:p>
      <w:pPr>
        <w:spacing w:line="360" w:lineRule="auto"/>
        <w:ind w:firstLine="412" w:firstLineChars="196"/>
        <w:rPr>
          <w:rFonts w:ascii="宋体" w:eastAsia="宋体" w:hAnsi="宋体"/>
          <w:szCs w:val="21"/>
        </w:rPr>
      </w:pPr>
      <w:r>
        <w:rPr>
          <w:rFonts w:ascii="宋体" w:eastAsia="宋体" w:hAnsi="宋体" w:hint="eastAsia"/>
          <w:szCs w:val="21"/>
        </w:rPr>
        <w:t>34.2大写金额和小写金额不一致的，以大写金额为准；</w:t>
      </w:r>
    </w:p>
    <w:p>
      <w:pPr>
        <w:spacing w:line="360" w:lineRule="auto"/>
        <w:ind w:firstLine="412" w:firstLineChars="196"/>
        <w:rPr>
          <w:rFonts w:ascii="宋体" w:eastAsia="宋体" w:hAnsi="宋体"/>
          <w:szCs w:val="21"/>
        </w:rPr>
      </w:pPr>
      <w:r>
        <w:rPr>
          <w:rFonts w:ascii="宋体" w:eastAsia="宋体" w:hAnsi="宋体" w:hint="eastAsia"/>
          <w:szCs w:val="21"/>
        </w:rPr>
        <w:t>34.3单价金额小数点或者百分比有明显错位，以开标一览表的总价为准，并修改单价；</w:t>
      </w:r>
    </w:p>
    <w:p>
      <w:pPr>
        <w:spacing w:line="360" w:lineRule="auto"/>
        <w:ind w:firstLine="412" w:firstLineChars="196"/>
        <w:rPr>
          <w:rFonts w:ascii="宋体" w:eastAsia="宋体" w:hAnsi="宋体"/>
          <w:szCs w:val="21"/>
        </w:rPr>
      </w:pPr>
      <w:r>
        <w:rPr>
          <w:rFonts w:ascii="宋体" w:eastAsia="宋体" w:hAnsi="宋体" w:hint="eastAsia"/>
          <w:szCs w:val="21"/>
        </w:rPr>
        <w:t>34.4总价金额与按单价汇总金额不一致的，以单价金额计算结果为准。</w:t>
      </w:r>
    </w:p>
    <w:p>
      <w:pPr>
        <w:spacing w:line="360" w:lineRule="auto"/>
        <w:ind w:firstLine="412" w:firstLineChars="196"/>
        <w:rPr>
          <w:rFonts w:ascii="宋体" w:eastAsia="宋体" w:hAnsi="宋体"/>
          <w:szCs w:val="21"/>
        </w:rPr>
      </w:pPr>
      <w:r>
        <w:rPr>
          <w:rFonts w:ascii="宋体" w:eastAsia="宋体" w:hAnsi="宋体" w:hint="eastAsia"/>
          <w:szCs w:val="21"/>
        </w:rPr>
        <w:t>34.5同时出现两种以上不一致的，按照前款规定的顺序修正</w:t>
      </w:r>
      <w:r>
        <w:rPr>
          <w:rFonts w:ascii="宋体" w:hAnsi="宋体" w:hint="eastAsia"/>
          <w:snapToGrid w:val="0"/>
          <w:kern w:val="0"/>
        </w:rPr>
        <w:t>（次序排先者优先）</w:t>
      </w:r>
      <w:r>
        <w:rPr>
          <w:rFonts w:ascii="宋体" w:eastAsia="宋体" w:hAnsi="宋体" w:hint="eastAsia"/>
          <w:szCs w:val="21"/>
        </w:rPr>
        <w:t>。修正后的报价按照本通用条款33条的规定，经投标人确认后产生约束力，投标人不确认的，其投标无效。</w:t>
      </w:r>
    </w:p>
    <w:p>
      <w:pPr>
        <w:spacing w:line="360" w:lineRule="auto"/>
        <w:rPr>
          <w:rFonts w:ascii="宋体" w:eastAsia="宋体" w:hAnsi="宋体"/>
          <w:b/>
          <w:bCs/>
          <w:szCs w:val="21"/>
        </w:rPr>
      </w:pPr>
      <w:r>
        <w:rPr>
          <w:rFonts w:ascii="宋体" w:eastAsia="宋体" w:hAnsi="宋体" w:hint="eastAsia"/>
          <w:b/>
          <w:bCs/>
          <w:szCs w:val="21"/>
        </w:rPr>
        <w:t>35．投标文件的比较与评价</w:t>
      </w:r>
    </w:p>
    <w:p>
      <w:pPr>
        <w:spacing w:line="360" w:lineRule="auto"/>
        <w:ind w:firstLine="412" w:firstLineChars="196"/>
        <w:rPr>
          <w:rFonts w:ascii="宋体" w:eastAsia="宋体" w:hAnsi="宋体"/>
          <w:szCs w:val="21"/>
        </w:rPr>
      </w:pPr>
      <w:r>
        <w:rPr>
          <w:rFonts w:ascii="宋体" w:eastAsia="宋体" w:hAnsi="宋体" w:hint="eastAsia"/>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spacing w:line="360" w:lineRule="auto"/>
        <w:ind w:firstLine="412" w:firstLineChars="196"/>
        <w:rPr>
          <w:rFonts w:ascii="宋体" w:eastAsia="宋体" w:hAnsi="宋体"/>
          <w:szCs w:val="21"/>
        </w:rPr>
      </w:pPr>
      <w:r>
        <w:rPr>
          <w:rFonts w:ascii="宋体" w:eastAsia="宋体" w:hAnsi="宋体" w:hint="eastAsia"/>
          <w:szCs w:val="21"/>
        </w:rPr>
        <w:t>评审委员会成员对需要共同认定的事项存在争议的，应当按照少数服从多数的原则作出结论。持不同意见的评审委员会成员应当书面作出说明，否则视为无异议。</w:t>
      </w:r>
    </w:p>
    <w:p>
      <w:pPr>
        <w:spacing w:line="360" w:lineRule="auto"/>
        <w:rPr>
          <w:rFonts w:ascii="宋体" w:eastAsia="宋体" w:hAnsi="宋体"/>
          <w:b/>
          <w:bCs/>
          <w:szCs w:val="21"/>
        </w:rPr>
      </w:pPr>
      <w:r>
        <w:rPr>
          <w:rFonts w:ascii="宋体" w:eastAsia="宋体" w:hAnsi="宋体" w:hint="eastAsia"/>
          <w:b/>
          <w:bCs/>
          <w:szCs w:val="21"/>
        </w:rPr>
        <w:t>36. 实地考察或资料查验</w:t>
      </w:r>
    </w:p>
    <w:p>
      <w:pPr>
        <w:spacing w:line="360" w:lineRule="auto"/>
        <w:ind w:firstLine="412" w:firstLineChars="196"/>
        <w:rPr>
          <w:rFonts w:ascii="宋体" w:eastAsia="宋体" w:hAnsi="宋体"/>
          <w:szCs w:val="21"/>
        </w:rPr>
      </w:pPr>
      <w:r>
        <w:rPr>
          <w:rFonts w:ascii="宋体" w:eastAsia="宋体" w:hAnsi="宋体" w:hint="eastAsia"/>
          <w:szCs w:val="21"/>
        </w:rPr>
        <w:t>36.1在评审过程中，评审委员会有权决定是否对本项目投标人进行实地考察或资料查验（原件）。投标人应随时做好接受实地考察或资料查验的准备。</w:t>
      </w:r>
    </w:p>
    <w:p>
      <w:pPr>
        <w:spacing w:line="360" w:lineRule="auto"/>
        <w:rPr>
          <w:rFonts w:ascii="宋体" w:eastAsia="宋体" w:hAnsi="宋体"/>
          <w:b/>
          <w:bCs/>
          <w:szCs w:val="21"/>
        </w:rPr>
      </w:pPr>
      <w:r>
        <w:rPr>
          <w:rFonts w:ascii="宋体" w:eastAsia="宋体" w:hAnsi="宋体" w:hint="eastAsia"/>
          <w:b/>
          <w:bCs/>
          <w:szCs w:val="21"/>
        </w:rPr>
        <w:t>37．评审方法</w:t>
      </w:r>
    </w:p>
    <w:p>
      <w:pPr>
        <w:spacing w:line="360" w:lineRule="auto"/>
        <w:ind w:firstLine="412" w:firstLineChars="196"/>
        <w:rPr>
          <w:rFonts w:ascii="宋体" w:eastAsia="宋体" w:hAnsi="宋体"/>
          <w:b/>
          <w:bCs/>
          <w:szCs w:val="21"/>
        </w:rPr>
      </w:pPr>
      <w:r>
        <w:rPr>
          <w:rFonts w:ascii="宋体" w:eastAsia="宋体" w:hAnsi="宋体" w:hint="eastAsia"/>
          <w:b/>
          <w:bCs/>
          <w:szCs w:val="21"/>
        </w:rPr>
        <w:t>37.1.1最低价法</w:t>
      </w:r>
    </w:p>
    <w:p>
      <w:pPr>
        <w:spacing w:line="360" w:lineRule="auto"/>
        <w:ind w:firstLine="412" w:firstLineChars="196"/>
        <w:rPr>
          <w:rFonts w:ascii="宋体" w:eastAsia="宋体" w:hAnsi="宋体"/>
          <w:szCs w:val="21"/>
        </w:rPr>
      </w:pPr>
      <w:bookmarkStart w:id="49" w:name="_Hlk72438142"/>
      <w:r>
        <w:rPr>
          <w:rFonts w:ascii="宋体" w:eastAsia="宋体" w:hAnsi="宋体"/>
          <w:szCs w:val="21"/>
        </w:rPr>
        <w:t>最低价法，是指</w:t>
      </w:r>
      <w:r>
        <w:rPr>
          <w:rFonts w:ascii="宋体" w:eastAsia="宋体" w:hAnsi="宋体" w:hint="eastAsia"/>
          <w:szCs w:val="21"/>
        </w:rPr>
        <w:t>完全</w:t>
      </w:r>
      <w:r>
        <w:rPr>
          <w:rFonts w:ascii="宋体" w:eastAsia="宋体" w:hAnsi="宋体"/>
          <w:szCs w:val="21"/>
        </w:rPr>
        <w:t>满足招标文件实质性要求，</w:t>
      </w:r>
      <w:r>
        <w:rPr>
          <w:rFonts w:ascii="宋体" w:eastAsia="宋体" w:hAnsi="宋体" w:hint="eastAsia"/>
          <w:szCs w:val="21"/>
        </w:rPr>
        <w:t>按照报价由低到高的顺序，依据招标文件中规定的数量或者比例推荐候选中标供应商。</w:t>
      </w:r>
    </w:p>
    <w:p>
      <w:pPr>
        <w:spacing w:line="360" w:lineRule="auto"/>
        <w:ind w:firstLine="412" w:firstLineChars="196"/>
        <w:rPr>
          <w:rFonts w:ascii="宋体" w:eastAsia="宋体" w:hAnsi="宋体"/>
          <w:b/>
          <w:bCs/>
          <w:szCs w:val="21"/>
        </w:rPr>
      </w:pPr>
      <w:r>
        <w:rPr>
          <w:rFonts w:ascii="宋体" w:eastAsia="宋体" w:hAnsi="宋体" w:hint="eastAsia"/>
          <w:b/>
          <w:bCs/>
          <w:szCs w:val="21"/>
        </w:rPr>
        <w:t>37.1.2综合评分法</w:t>
      </w:r>
    </w:p>
    <w:p>
      <w:pPr>
        <w:spacing w:line="360" w:lineRule="auto"/>
        <w:ind w:firstLine="412" w:firstLineChars="196"/>
        <w:rPr>
          <w:rFonts w:ascii="宋体" w:eastAsia="宋体" w:hAnsi="宋体"/>
          <w:szCs w:val="21"/>
        </w:rPr>
      </w:pPr>
      <w:r>
        <w:rPr>
          <w:rFonts w:ascii="宋体" w:eastAsia="宋体" w:hAnsi="宋体"/>
          <w:szCs w:val="21"/>
        </w:rPr>
        <w:t>综合评分法，是指</w:t>
      </w:r>
      <w:r>
        <w:rPr>
          <w:rFonts w:ascii="宋体" w:eastAsia="宋体" w:hAnsi="宋体" w:hint="eastAsia"/>
          <w:szCs w:val="21"/>
        </w:rPr>
        <w:t>在</w:t>
      </w:r>
      <w:r>
        <w:rPr>
          <w:rFonts w:ascii="宋体" w:eastAsia="宋体" w:hAnsi="宋体"/>
          <w:szCs w:val="21"/>
        </w:rPr>
        <w:t>满足招标文件全部实质性要求</w:t>
      </w:r>
      <w:r>
        <w:rPr>
          <w:rFonts w:ascii="宋体" w:eastAsia="宋体" w:hAnsi="宋体" w:hint="eastAsia"/>
          <w:szCs w:val="21"/>
        </w:rPr>
        <w:t>的前提下</w:t>
      </w:r>
      <w:r>
        <w:rPr>
          <w:rFonts w:ascii="宋体" w:eastAsia="宋体" w:hAnsi="宋体"/>
          <w:szCs w:val="21"/>
        </w:rPr>
        <w:t>，</w:t>
      </w:r>
      <w:r>
        <w:rPr>
          <w:rFonts w:ascii="宋体" w:eastAsia="宋体" w:hAnsi="宋体" w:hint="eastAsia"/>
          <w:szCs w:val="21"/>
        </w:rPr>
        <w:t>按照招标文件中规定的各项因素进行综合评审，评审总得分排名前列的投标人，作为推荐的候选中标供应商。</w:t>
      </w:r>
      <w:bookmarkEnd w:id="49"/>
    </w:p>
    <w:p>
      <w:pPr>
        <w:spacing w:line="360" w:lineRule="auto"/>
        <w:ind w:firstLine="412" w:firstLineChars="196"/>
        <w:rPr>
          <w:rFonts w:ascii="宋体" w:eastAsia="宋体" w:hAnsi="宋体"/>
          <w:b/>
          <w:bCs/>
          <w:szCs w:val="21"/>
        </w:rPr>
      </w:pPr>
      <w:r>
        <w:rPr>
          <w:rFonts w:ascii="宋体" w:eastAsia="宋体" w:hAnsi="宋体" w:hint="eastAsia"/>
          <w:b/>
          <w:bCs/>
          <w:szCs w:val="21"/>
        </w:rPr>
        <w:t>37.2 本项目采用的评审方法见本项目招标文件第一册“专用条款”的相关内容。</w:t>
      </w:r>
    </w:p>
    <w:p>
      <w:pPr>
        <w:spacing w:line="360" w:lineRule="auto"/>
        <w:ind w:firstLine="412" w:firstLineChars="196"/>
        <w:rPr>
          <w:rFonts w:ascii="宋体" w:eastAsia="宋体" w:hAnsi="宋体"/>
          <w:b/>
          <w:bCs/>
          <w:szCs w:val="21"/>
        </w:rPr>
      </w:pPr>
      <w:r>
        <w:rPr>
          <w:rFonts w:ascii="宋体" w:eastAsia="宋体" w:hAnsi="宋体" w:hint="eastAsia"/>
          <w:b/>
          <w:bCs/>
          <w:szCs w:val="21"/>
        </w:rPr>
        <w:t>37.3重新评审的情形</w:t>
      </w:r>
    </w:p>
    <w:p>
      <w:pPr>
        <w:spacing w:line="360" w:lineRule="auto"/>
        <w:ind w:firstLine="412" w:firstLineChars="196"/>
        <w:rPr>
          <w:rFonts w:ascii="宋体" w:eastAsia="宋体" w:hAnsi="宋体"/>
          <w:b/>
          <w:bCs/>
          <w:szCs w:val="21"/>
        </w:rPr>
      </w:pPr>
      <w:r>
        <w:rPr>
          <w:rFonts w:ascii="宋体" w:eastAsia="宋体" w:hAnsi="宋体" w:cs="宋体" w:hint="eastAsia"/>
          <w:szCs w:val="21"/>
        </w:rPr>
        <w:t>评审结果汇总完成后，除下列情形外，任何人不得修改评审结果：</w:t>
      </w:r>
    </w:p>
    <w:p>
      <w:pPr>
        <w:spacing w:line="360" w:lineRule="auto"/>
        <w:ind w:firstLine="412" w:firstLineChars="196"/>
        <w:rPr>
          <w:rFonts w:ascii="宋体" w:eastAsia="宋体" w:hAnsi="宋体" w:cs="宋体"/>
          <w:szCs w:val="21"/>
        </w:rPr>
      </w:pPr>
      <w:r>
        <w:rPr>
          <w:rFonts w:ascii="宋体" w:eastAsia="宋体" w:hAnsi="宋体" w:cs="宋体" w:hint="eastAsia"/>
          <w:szCs w:val="21"/>
        </w:rPr>
        <w:t>37.3.1分值汇总计算错误的；</w:t>
      </w:r>
    </w:p>
    <w:p>
      <w:pPr>
        <w:spacing w:line="360" w:lineRule="auto"/>
        <w:ind w:firstLine="412" w:firstLineChars="196"/>
        <w:rPr>
          <w:rFonts w:ascii="宋体" w:eastAsia="宋体" w:hAnsi="宋体" w:cs="宋体"/>
          <w:szCs w:val="21"/>
        </w:rPr>
      </w:pPr>
      <w:r>
        <w:rPr>
          <w:rFonts w:ascii="宋体" w:eastAsia="宋体" w:hAnsi="宋体" w:cs="宋体" w:hint="eastAsia"/>
          <w:szCs w:val="21"/>
        </w:rPr>
        <w:t>37.3.2分项评分超出评分标准范围的；</w:t>
      </w:r>
    </w:p>
    <w:p>
      <w:pPr>
        <w:spacing w:line="360" w:lineRule="auto"/>
        <w:ind w:firstLine="412" w:firstLineChars="196"/>
        <w:rPr>
          <w:rFonts w:ascii="宋体" w:eastAsia="宋体" w:hAnsi="宋体" w:cs="宋体"/>
          <w:szCs w:val="21"/>
        </w:rPr>
      </w:pPr>
      <w:r>
        <w:rPr>
          <w:rFonts w:ascii="宋体" w:eastAsia="宋体" w:hAnsi="宋体" w:cs="宋体" w:hint="eastAsia"/>
          <w:szCs w:val="21"/>
        </w:rPr>
        <w:t>37.3.3评审委员会成员对客观评审因素评分不一致的；</w:t>
      </w:r>
    </w:p>
    <w:p>
      <w:pPr>
        <w:spacing w:line="360" w:lineRule="auto"/>
        <w:ind w:firstLine="412" w:firstLineChars="196"/>
        <w:rPr>
          <w:rFonts w:ascii="宋体" w:eastAsia="宋体" w:hAnsi="宋体" w:cs="宋体"/>
          <w:szCs w:val="21"/>
        </w:rPr>
      </w:pPr>
      <w:r>
        <w:rPr>
          <w:rFonts w:ascii="宋体" w:eastAsia="宋体" w:hAnsi="宋体" w:cs="宋体" w:hint="eastAsia"/>
          <w:szCs w:val="21"/>
        </w:rPr>
        <w:t>37.3.4经评审委员会认定评分畸高、畸低的。</w:t>
      </w:r>
    </w:p>
    <w:p>
      <w:pPr>
        <w:spacing w:line="360" w:lineRule="auto"/>
        <w:ind w:firstLine="412" w:firstLineChars="196"/>
        <w:rPr>
          <w:rFonts w:ascii="宋体" w:eastAsia="宋体" w:hAnsi="宋体" w:cs="宋体"/>
          <w:szCs w:val="21"/>
        </w:rPr>
      </w:pPr>
      <w:r>
        <w:rPr>
          <w:rFonts w:ascii="宋体" w:eastAsia="宋体" w:hAnsi="宋体" w:cs="宋体" w:hint="eastAsia"/>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spacing w:line="360" w:lineRule="auto"/>
        <w:ind w:firstLine="412" w:firstLineChars="196"/>
        <w:rPr>
          <w:rFonts w:ascii="宋体" w:eastAsia="宋体" w:hAnsi="宋体" w:cs="宋体"/>
          <w:szCs w:val="21"/>
        </w:rPr>
      </w:pPr>
      <w:r>
        <w:rPr>
          <w:rFonts w:ascii="宋体" w:eastAsia="宋体" w:hAnsi="宋体" w:cs="宋体" w:hint="eastAsia"/>
          <w:szCs w:val="21"/>
        </w:rPr>
        <w:t>投标人对本条第一款情形提出质疑的，采购人或者采购代理机构可以组织原评审委员会进行重新评审，重新评审改变评审结果的，应当书面报告本级财政部门。</w:t>
      </w:r>
    </w:p>
    <w:p>
      <w:pPr>
        <w:spacing w:line="360" w:lineRule="auto"/>
        <w:ind w:firstLine="412" w:firstLineChars="196"/>
        <w:rPr>
          <w:rFonts w:ascii="宋体" w:eastAsia="宋体" w:hAnsi="宋体"/>
          <w:b/>
          <w:bCs/>
          <w:szCs w:val="21"/>
        </w:rPr>
      </w:pPr>
      <w:r>
        <w:rPr>
          <w:rFonts w:ascii="宋体" w:eastAsia="宋体" w:hAnsi="宋体" w:hint="eastAsia"/>
          <w:b/>
          <w:bCs/>
          <w:szCs w:val="21"/>
        </w:rPr>
        <w:t xml:space="preserve"> 37.4重新组建评审委员会的情形</w:t>
      </w:r>
    </w:p>
    <w:p>
      <w:pPr>
        <w:spacing w:line="360" w:lineRule="auto"/>
        <w:ind w:firstLine="412" w:firstLineChars="196"/>
        <w:rPr>
          <w:rFonts w:ascii="宋体" w:eastAsia="宋体" w:hAnsi="宋体" w:cs="宋体"/>
          <w:szCs w:val="21"/>
        </w:rPr>
      </w:pPr>
      <w:r>
        <w:rPr>
          <w:rFonts w:ascii="宋体" w:eastAsia="宋体" w:hAnsi="宋体" w:cs="宋体" w:hint="eastAsia"/>
          <w:szCs w:val="21"/>
        </w:rPr>
        <w:t>评审委员会或者其成员存在下列情形导致评审结果无效的，重新组建评审委员会进行评标，并书面报告本级财政部门：</w:t>
      </w:r>
    </w:p>
    <w:p>
      <w:pPr>
        <w:spacing w:line="360" w:lineRule="auto"/>
        <w:ind w:firstLine="412" w:firstLineChars="196"/>
        <w:rPr>
          <w:rFonts w:ascii="宋体" w:eastAsia="宋体" w:hAnsi="宋体" w:cs="宋体"/>
          <w:szCs w:val="21"/>
        </w:rPr>
      </w:pPr>
      <w:r>
        <w:rPr>
          <w:rFonts w:ascii="宋体" w:eastAsia="宋体" w:hAnsi="宋体" w:cs="宋体" w:hint="eastAsia"/>
          <w:szCs w:val="21"/>
        </w:rPr>
        <w:t>37.4.1评审委员会组成不符合《政府采购货物和服务招标投标管理办法》规定的；</w:t>
      </w:r>
    </w:p>
    <w:p>
      <w:pPr>
        <w:spacing w:line="360" w:lineRule="auto"/>
        <w:ind w:firstLine="412" w:firstLineChars="196"/>
        <w:rPr>
          <w:rFonts w:ascii="宋体" w:eastAsia="宋体" w:hAnsi="宋体" w:cs="宋体"/>
          <w:szCs w:val="21"/>
        </w:rPr>
      </w:pPr>
      <w:r>
        <w:rPr>
          <w:rFonts w:ascii="宋体" w:eastAsia="宋体" w:hAnsi="宋体" w:cs="宋体" w:hint="eastAsia"/>
          <w:szCs w:val="21"/>
        </w:rPr>
        <w:t>37.4.2有《政府采购货物和服务招标投标管理办法》第六十二条第一至五项情形的；</w:t>
      </w:r>
    </w:p>
    <w:p>
      <w:pPr>
        <w:spacing w:line="360" w:lineRule="auto"/>
        <w:ind w:firstLine="412" w:firstLineChars="196"/>
        <w:rPr>
          <w:rFonts w:ascii="宋体" w:eastAsia="宋体" w:hAnsi="宋体" w:cs="宋体"/>
          <w:szCs w:val="21"/>
        </w:rPr>
      </w:pPr>
      <w:r>
        <w:rPr>
          <w:rFonts w:ascii="宋体" w:eastAsia="宋体" w:hAnsi="宋体" w:cs="宋体" w:hint="eastAsia"/>
          <w:szCs w:val="21"/>
        </w:rPr>
        <w:t>37.4.3评审委员会及其成员独立评标受到非法干预的；</w:t>
      </w:r>
    </w:p>
    <w:p>
      <w:pPr>
        <w:spacing w:line="360" w:lineRule="auto"/>
        <w:ind w:firstLine="412" w:firstLineChars="196"/>
        <w:rPr>
          <w:rFonts w:ascii="宋体" w:eastAsia="宋体" w:hAnsi="宋体" w:cs="宋体"/>
          <w:szCs w:val="21"/>
        </w:rPr>
      </w:pPr>
      <w:r>
        <w:rPr>
          <w:rFonts w:ascii="宋体" w:eastAsia="宋体" w:hAnsi="宋体" w:cs="宋体" w:hint="eastAsia"/>
          <w:szCs w:val="21"/>
        </w:rPr>
        <w:t>37.4.4有政府采购法实施条例第七十五条规定的违法行为的。</w:t>
      </w:r>
    </w:p>
    <w:p>
      <w:pPr>
        <w:spacing w:line="360" w:lineRule="auto"/>
        <w:ind w:firstLine="412" w:firstLineChars="196"/>
        <w:rPr>
          <w:rFonts w:ascii="宋体" w:eastAsia="宋体" w:hAnsi="宋体" w:cs="宋体"/>
          <w:szCs w:val="21"/>
        </w:rPr>
      </w:pPr>
      <w:r>
        <w:rPr>
          <w:rFonts w:ascii="宋体" w:eastAsia="宋体" w:hAnsi="宋体" w:cs="宋体" w:hint="eastAsia"/>
          <w:szCs w:val="21"/>
        </w:rPr>
        <w:t>有违法违规行为的原评审委员会成员不得参加重新组建的评审委员会。</w:t>
      </w:r>
    </w:p>
    <w:p>
      <w:pPr>
        <w:keepNext/>
        <w:keepLines/>
        <w:widowControl/>
        <w:numPr>
          <w:ilvl w:val="0"/>
          <w:numId w:val="2"/>
        </w:numPr>
        <w:adjustRightInd w:val="0"/>
        <w:spacing w:before="156" w:beforeLines="50" w:after="156" w:afterLines="50" w:line="360" w:lineRule="auto"/>
        <w:ind w:left="562" w:hanging="562"/>
        <w:jc w:val="center"/>
        <w:textAlignment w:val="baseline"/>
        <w:outlineLvl w:val="1"/>
        <w:rPr>
          <w:rFonts w:ascii="宋体" w:eastAsia="宋体" w:hAnsi="宋体"/>
          <w:b/>
          <w:bCs/>
          <w:kern w:val="0"/>
          <w:sz w:val="28"/>
          <w:szCs w:val="28"/>
        </w:rPr>
      </w:pPr>
      <w:r>
        <w:rPr>
          <w:rFonts w:ascii="宋体" w:eastAsia="宋体" w:hAnsi="宋体" w:hint="eastAsia"/>
          <w:b/>
          <w:bCs/>
          <w:kern w:val="0"/>
          <w:sz w:val="28"/>
          <w:szCs w:val="28"/>
        </w:rPr>
        <w:t>定标及公示</w:t>
      </w:r>
    </w:p>
    <w:p>
      <w:pPr>
        <w:spacing w:line="360" w:lineRule="auto"/>
        <w:rPr>
          <w:rFonts w:ascii="宋体" w:eastAsia="宋体" w:hAnsi="宋体"/>
          <w:b/>
          <w:bCs/>
          <w:szCs w:val="21"/>
        </w:rPr>
      </w:pPr>
      <w:r>
        <w:rPr>
          <w:rFonts w:ascii="宋体" w:eastAsia="宋体" w:hAnsi="宋体" w:hint="eastAsia"/>
          <w:b/>
          <w:bCs/>
          <w:szCs w:val="21"/>
        </w:rPr>
        <w:t>38．定标方法</w:t>
      </w:r>
    </w:p>
    <w:p>
      <w:pPr>
        <w:spacing w:line="360" w:lineRule="auto"/>
        <w:ind w:firstLine="412" w:firstLineChars="196"/>
        <w:rPr>
          <w:rFonts w:ascii="宋体" w:eastAsia="宋体" w:hAnsi="宋体"/>
          <w:szCs w:val="21"/>
        </w:rPr>
      </w:pPr>
      <w:bookmarkStart w:id="50" w:name="_Hlk73782795"/>
      <w:r>
        <w:rPr>
          <w:rFonts w:ascii="宋体" w:eastAsia="宋体" w:hAnsi="宋体" w:hint="eastAsia"/>
          <w:szCs w:val="21"/>
        </w:rPr>
        <w:t>38.1非评定分离项目定标方法</w:t>
      </w:r>
    </w:p>
    <w:p>
      <w:pPr>
        <w:spacing w:line="360" w:lineRule="auto"/>
        <w:ind w:firstLine="412" w:firstLineChars="196"/>
        <w:rPr>
          <w:rFonts w:ascii="宋体" w:eastAsia="宋体" w:hAnsi="宋体"/>
          <w:szCs w:val="21"/>
        </w:rPr>
      </w:pPr>
      <w:r>
        <w:rPr>
          <w:rFonts w:ascii="宋体" w:eastAsia="宋体" w:hAnsi="宋体" w:hint="eastAsia"/>
          <w:szCs w:val="21"/>
        </w:rPr>
        <w:t>38</w:t>
      </w:r>
      <w:r>
        <w:rPr>
          <w:rFonts w:ascii="宋体" w:eastAsia="宋体" w:hAnsi="宋体"/>
          <w:szCs w:val="21"/>
        </w:rPr>
        <w:t>.</w:t>
      </w:r>
      <w:r>
        <w:rPr>
          <w:rFonts w:ascii="宋体" w:eastAsia="宋体" w:hAnsi="宋体" w:hint="eastAsia"/>
          <w:szCs w:val="21"/>
        </w:rPr>
        <w:t>1.1评审委员会依据本项目招标文件所约定的评审方法进行评审和比较，向采购代理机构提交书面评审报告，并根据评审方法比较评价结果从优到劣进行排序，确定候选中标供应商。</w:t>
      </w:r>
    </w:p>
    <w:p>
      <w:pPr>
        <w:spacing w:line="360" w:lineRule="auto"/>
        <w:ind w:firstLine="412" w:firstLineChars="196"/>
        <w:rPr>
          <w:rFonts w:ascii="宋体" w:eastAsia="宋体" w:hAnsi="宋体"/>
          <w:szCs w:val="21"/>
        </w:rPr>
      </w:pPr>
      <w:r>
        <w:rPr>
          <w:rFonts w:ascii="宋体" w:eastAsia="宋体" w:hAnsi="宋体" w:hint="eastAsia"/>
          <w:szCs w:val="21"/>
        </w:rPr>
        <w:t>38</w:t>
      </w:r>
      <w:r>
        <w:rPr>
          <w:rFonts w:ascii="宋体" w:eastAsia="宋体" w:hAnsi="宋体"/>
          <w:szCs w:val="21"/>
        </w:rPr>
        <w:t>.</w:t>
      </w:r>
      <w:r>
        <w:rPr>
          <w:rFonts w:ascii="宋体" w:eastAsia="宋体" w:hAnsi="宋体" w:hint="eastAsia"/>
          <w:szCs w:val="21"/>
        </w:rPr>
        <w:t>1.2</w:t>
      </w:r>
      <w:r>
        <w:rPr>
          <w:rFonts w:ascii="宋体" w:eastAsia="宋体" w:hAnsi="宋体"/>
          <w:szCs w:val="21"/>
        </w:rPr>
        <w:t>采用最低价法的，评</w:t>
      </w:r>
      <w:r>
        <w:rPr>
          <w:rFonts w:ascii="宋体" w:eastAsia="宋体" w:hAnsi="宋体" w:hint="eastAsia"/>
          <w:szCs w:val="21"/>
        </w:rPr>
        <w:t>审</w:t>
      </w:r>
      <w:r>
        <w:rPr>
          <w:rFonts w:ascii="宋体" w:eastAsia="宋体" w:hAnsi="宋体"/>
          <w:szCs w:val="21"/>
        </w:rPr>
        <w:t>结果按投标报价由低到高顺序排列。投标报价相同的并列。投标文件满足招标文件全部实质性要求且投标报价最低的</w:t>
      </w:r>
      <w:r>
        <w:rPr>
          <w:rFonts w:ascii="宋体" w:eastAsia="宋体" w:hAnsi="宋体" w:hint="eastAsia"/>
          <w:szCs w:val="21"/>
        </w:rPr>
        <w:t>投标人为</w:t>
      </w:r>
      <w:bookmarkStart w:id="51" w:name="_Hlk73821177"/>
      <w:r>
        <w:rPr>
          <w:rFonts w:ascii="宋体" w:eastAsia="宋体" w:hAnsi="宋体" w:hint="eastAsia"/>
          <w:szCs w:val="21"/>
        </w:rPr>
        <w:t>中标供应商</w:t>
      </w:r>
      <w:r>
        <w:rPr>
          <w:rFonts w:ascii="宋体" w:eastAsia="宋体" w:hAnsi="宋体"/>
          <w:szCs w:val="21"/>
        </w:rPr>
        <w:t>（</w:t>
      </w:r>
      <w:r>
        <w:rPr>
          <w:rFonts w:ascii="宋体" w:eastAsia="宋体" w:hAnsi="宋体" w:hint="eastAsia"/>
          <w:szCs w:val="21"/>
        </w:rPr>
        <w:t>排名</w:t>
      </w:r>
      <w:r>
        <w:rPr>
          <w:rFonts w:ascii="宋体" w:eastAsia="宋体" w:hAnsi="宋体"/>
          <w:szCs w:val="21"/>
        </w:rPr>
        <w:t>第二</w:t>
      </w:r>
      <w:r>
        <w:rPr>
          <w:rFonts w:ascii="宋体" w:eastAsia="宋体" w:hAnsi="宋体" w:hint="eastAsia"/>
          <w:szCs w:val="21"/>
        </w:rPr>
        <w:t>的投标人为第一替补中标候选人、排名</w:t>
      </w:r>
      <w:r>
        <w:rPr>
          <w:rFonts w:ascii="宋体" w:eastAsia="宋体" w:hAnsi="宋体"/>
          <w:szCs w:val="21"/>
        </w:rPr>
        <w:t>第</w:t>
      </w:r>
      <w:r>
        <w:rPr>
          <w:rFonts w:ascii="宋体" w:eastAsia="宋体" w:hAnsi="宋体" w:hint="eastAsia"/>
          <w:szCs w:val="21"/>
        </w:rPr>
        <w:t>三的投标人为第二替补中标候选人</w:t>
      </w:r>
      <w:bookmarkEnd w:id="51"/>
      <w:r>
        <w:rPr>
          <w:rFonts w:ascii="宋体" w:eastAsia="宋体" w:hAnsi="宋体"/>
          <w:szCs w:val="21"/>
        </w:rPr>
        <w:t>）。</w:t>
      </w:r>
    </w:p>
    <w:p>
      <w:pPr>
        <w:spacing w:line="360" w:lineRule="auto"/>
        <w:ind w:firstLine="412" w:firstLineChars="196"/>
        <w:rPr>
          <w:rFonts w:ascii="宋体" w:eastAsia="宋体" w:hAnsi="宋体" w:hint="eastAsia"/>
          <w:szCs w:val="21"/>
        </w:rPr>
      </w:pPr>
      <w:r>
        <w:rPr>
          <w:rFonts w:ascii="宋体" w:eastAsia="宋体" w:hAnsi="宋体" w:hint="eastAsia"/>
          <w:szCs w:val="21"/>
        </w:rPr>
        <w:t>38</w:t>
      </w:r>
      <w:r>
        <w:rPr>
          <w:rFonts w:ascii="宋体" w:eastAsia="宋体" w:hAnsi="宋体"/>
          <w:szCs w:val="21"/>
        </w:rPr>
        <w:t>.</w:t>
      </w:r>
      <w:r>
        <w:rPr>
          <w:rFonts w:ascii="宋体" w:eastAsia="宋体" w:hAnsi="宋体" w:hint="eastAsia"/>
          <w:szCs w:val="21"/>
        </w:rPr>
        <w:t>1.3</w:t>
      </w:r>
      <w:r>
        <w:rPr>
          <w:rFonts w:ascii="宋体" w:eastAsia="宋体" w:hAnsi="宋体"/>
          <w:szCs w:val="21"/>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ascii="宋体" w:eastAsia="宋体" w:hAnsi="宋体" w:hint="eastAsia"/>
          <w:szCs w:val="21"/>
        </w:rPr>
        <w:t>为中标供应商</w:t>
      </w:r>
      <w:r>
        <w:rPr>
          <w:rFonts w:ascii="宋体" w:eastAsia="宋体" w:hAnsi="宋体"/>
          <w:szCs w:val="21"/>
        </w:rPr>
        <w:t>（</w:t>
      </w:r>
      <w:r>
        <w:rPr>
          <w:rFonts w:ascii="宋体" w:eastAsia="宋体" w:hAnsi="宋体" w:hint="eastAsia"/>
          <w:szCs w:val="21"/>
        </w:rPr>
        <w:t>中标候选人如不止一名，则推选排名</w:t>
      </w:r>
      <w:r>
        <w:rPr>
          <w:rFonts w:ascii="宋体" w:eastAsia="宋体" w:hAnsi="宋体"/>
          <w:szCs w:val="21"/>
        </w:rPr>
        <w:t>第二</w:t>
      </w:r>
      <w:r>
        <w:rPr>
          <w:rFonts w:ascii="宋体" w:eastAsia="宋体" w:hAnsi="宋体" w:hint="eastAsia"/>
          <w:szCs w:val="21"/>
        </w:rPr>
        <w:t>的投标人为第一替补中标候选人、排名</w:t>
      </w:r>
      <w:r>
        <w:rPr>
          <w:rFonts w:ascii="宋体" w:eastAsia="宋体" w:hAnsi="宋体"/>
          <w:szCs w:val="21"/>
        </w:rPr>
        <w:t>第</w:t>
      </w:r>
      <w:r>
        <w:rPr>
          <w:rFonts w:ascii="宋体" w:eastAsia="宋体" w:hAnsi="宋体" w:hint="eastAsia"/>
          <w:szCs w:val="21"/>
        </w:rPr>
        <w:t>三的投标人为第二替补中标候选人</w:t>
      </w:r>
      <w:r>
        <w:rPr>
          <w:rFonts w:ascii="宋体" w:eastAsia="宋体" w:hAnsi="宋体"/>
          <w:szCs w:val="21"/>
        </w:rPr>
        <w:t>）。</w:t>
      </w:r>
      <w:r>
        <w:rPr>
          <w:rFonts w:ascii="宋体" w:eastAsia="宋体" w:hAnsi="宋体" w:hint="eastAsia"/>
          <w:szCs w:val="21"/>
        </w:rPr>
        <w:t>出现</w:t>
      </w:r>
      <w:r>
        <w:rPr>
          <w:rFonts w:ascii="宋体" w:eastAsia="宋体" w:hAnsi="宋体"/>
          <w:szCs w:val="21"/>
        </w:rPr>
        <w:t>得分且投标报价相同的并列</w:t>
      </w:r>
      <w:r>
        <w:rPr>
          <w:rFonts w:ascii="宋体" w:eastAsia="宋体" w:hAnsi="宋体" w:hint="eastAsia"/>
          <w:szCs w:val="21"/>
        </w:rPr>
        <w:t>情况时，采取随机抽取的方式确定，具体操作办法及流程由评审委员会确定（因落实政府采购政策进行价格调整的，以调整后的价格计算投标报价）。</w:t>
      </w:r>
    </w:p>
    <w:p>
      <w:pPr>
        <w:spacing w:line="360" w:lineRule="auto"/>
        <w:ind w:firstLine="412" w:firstLineChars="196"/>
        <w:rPr>
          <w:rFonts w:ascii="宋体" w:eastAsia="宋体" w:hAnsi="宋体"/>
          <w:szCs w:val="21"/>
        </w:rPr>
      </w:pPr>
      <w:r>
        <w:rPr>
          <w:rFonts w:ascii="宋体" w:eastAsia="宋体" w:hAnsi="宋体" w:hint="eastAsia"/>
          <w:szCs w:val="21"/>
        </w:rPr>
        <w:t>38.2评定分离项目定标方法</w:t>
      </w:r>
    </w:p>
    <w:p>
      <w:pPr>
        <w:spacing w:line="360" w:lineRule="auto"/>
        <w:ind w:firstLine="412" w:firstLineChars="196"/>
        <w:rPr>
          <w:rFonts w:ascii="宋体" w:eastAsia="宋体" w:hAnsi="宋体"/>
          <w:szCs w:val="21"/>
        </w:rPr>
      </w:pPr>
      <w:r>
        <w:rPr>
          <w:rFonts w:ascii="宋体" w:eastAsia="宋体" w:hAnsi="宋体" w:hint="eastAsia"/>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spacing w:line="360" w:lineRule="auto"/>
        <w:ind w:firstLine="412" w:firstLineChars="196"/>
        <w:rPr>
          <w:rFonts w:ascii="宋体" w:eastAsia="宋体" w:hAnsi="宋体"/>
          <w:szCs w:val="21"/>
        </w:rPr>
      </w:pPr>
      <w:r>
        <w:rPr>
          <w:rFonts w:ascii="宋体" w:eastAsia="宋体" w:hAnsi="宋体"/>
          <w:szCs w:val="21"/>
        </w:rPr>
        <w:t xml:space="preserve">38.2.2 </w:t>
      </w:r>
      <w:bookmarkStart w:id="52" w:name="_Hlk71469733"/>
      <w:r>
        <w:rPr>
          <w:rFonts w:ascii="宋体" w:eastAsia="宋体" w:hAnsi="宋体"/>
          <w:szCs w:val="21"/>
        </w:rPr>
        <w:t>适用评定分离的政府采购项目，采用综合评分法评</w:t>
      </w:r>
      <w:r>
        <w:rPr>
          <w:rFonts w:ascii="宋体" w:eastAsia="宋体" w:hAnsi="宋体" w:hint="eastAsia"/>
          <w:szCs w:val="21"/>
        </w:rPr>
        <w:t>审。评审委员会按照评审结果，推荐</w:t>
      </w:r>
      <w:r>
        <w:rPr>
          <w:rFonts w:ascii="宋体" w:eastAsia="宋体" w:hAnsi="宋体"/>
          <w:szCs w:val="21"/>
        </w:rPr>
        <w:t>三个合格的候选中标供应商。</w:t>
      </w:r>
    </w:p>
    <w:p>
      <w:pPr>
        <w:spacing w:line="360" w:lineRule="auto"/>
        <w:ind w:firstLine="412" w:firstLineChars="196"/>
        <w:rPr>
          <w:rFonts w:ascii="宋体" w:eastAsia="宋体" w:hAnsi="宋体"/>
          <w:szCs w:val="21"/>
        </w:rPr>
      </w:pPr>
      <w:r>
        <w:rPr>
          <w:rFonts w:ascii="宋体" w:eastAsia="宋体" w:hAnsi="宋体" w:hint="eastAsia"/>
          <w:szCs w:val="21"/>
        </w:rPr>
        <w:t>38.2.3</w:t>
      </w:r>
      <w:bookmarkStart w:id="53" w:name="_Hlk71469688"/>
      <w:r>
        <w:rPr>
          <w:rFonts w:ascii="宋体" w:eastAsia="宋体" w:hAnsi="宋体"/>
          <w:szCs w:val="21"/>
        </w:rPr>
        <w:t>适用评定分离的政府采购项目，</w:t>
      </w:r>
      <w:r>
        <w:rPr>
          <w:rFonts w:ascii="宋体" w:eastAsia="宋体" w:hAnsi="宋体" w:hint="eastAsia"/>
          <w:szCs w:val="21"/>
        </w:rPr>
        <w:t>按照自定法确定中标供应商：自定法是指采购人组织定标委员会，由定标委员会在三家候选中标供应商中确定中标供应商。</w:t>
      </w:r>
      <w:bookmarkEnd w:id="52"/>
      <w:bookmarkEnd w:id="53"/>
    </w:p>
    <w:p>
      <w:pPr>
        <w:spacing w:line="360" w:lineRule="auto"/>
        <w:ind w:firstLine="412" w:firstLineChars="196"/>
        <w:rPr>
          <w:rFonts w:ascii="宋体" w:eastAsia="宋体" w:hAnsi="宋体"/>
          <w:szCs w:val="21"/>
        </w:rPr>
      </w:pPr>
      <w:r>
        <w:rPr>
          <w:rFonts w:ascii="宋体" w:eastAsia="宋体" w:hAnsi="宋体"/>
          <w:szCs w:val="21"/>
        </w:rPr>
        <w:t>38.2.4</w:t>
      </w:r>
      <w:r>
        <w:rPr>
          <w:rFonts w:ascii="宋体" w:eastAsia="宋体" w:hAnsi="宋体" w:hint="eastAsia"/>
          <w:szCs w:val="21"/>
        </w:rPr>
        <w:t>采购代理机构</w:t>
      </w:r>
      <w:r>
        <w:rPr>
          <w:rFonts w:ascii="宋体" w:eastAsia="宋体" w:hAnsi="宋体"/>
          <w:szCs w:val="21"/>
        </w:rPr>
        <w:t>应当自评审结束之日起两个工作日内将候选中标供应商名单及其投标文件、评审报告送交采购人</w:t>
      </w:r>
      <w:r>
        <w:rPr>
          <w:rFonts w:ascii="宋体" w:eastAsia="宋体" w:hAnsi="宋体" w:hint="eastAsia"/>
          <w:szCs w:val="21"/>
        </w:rPr>
        <w:t>。</w:t>
      </w:r>
      <w:r>
        <w:rPr>
          <w:rFonts w:ascii="宋体" w:eastAsia="宋体" w:hAnsi="宋体"/>
          <w:szCs w:val="21"/>
        </w:rPr>
        <w:t>采购人应当安排专人对定标过程进行书面记录，形成定标报告，作为采购文件的组成部分存档，并及时将定标结果反馈</w:t>
      </w:r>
      <w:r>
        <w:rPr>
          <w:rFonts w:ascii="宋体" w:eastAsia="宋体" w:hAnsi="宋体" w:hint="eastAsia"/>
          <w:szCs w:val="21"/>
        </w:rPr>
        <w:t>采购代理机构。具体定标程序及相关要求以按照《</w:t>
      </w:r>
      <w:r>
        <w:rPr>
          <w:rFonts w:ascii="宋体" w:eastAsia="宋体" w:hAnsi="宋体"/>
          <w:szCs w:val="21"/>
        </w:rPr>
        <w:t>深圳市财政局关于印发</w:t>
      </w:r>
      <w:r>
        <w:rPr>
          <w:rFonts w:ascii="宋体" w:eastAsia="宋体" w:hAnsi="宋体" w:hint="eastAsia"/>
          <w:szCs w:val="21"/>
        </w:rPr>
        <w:t>〈</w:t>
      </w:r>
      <w:r>
        <w:rPr>
          <w:rFonts w:ascii="宋体" w:eastAsia="宋体" w:hAnsi="宋体"/>
          <w:szCs w:val="21"/>
        </w:rPr>
        <w:t>深圳市政府采购评标定标分离管理办法</w:t>
      </w:r>
      <w:r>
        <w:rPr>
          <w:rFonts w:ascii="宋体" w:eastAsia="宋体" w:hAnsi="宋体" w:hint="eastAsia"/>
          <w:szCs w:val="21"/>
        </w:rPr>
        <w:t>〉</w:t>
      </w:r>
      <w:r>
        <w:rPr>
          <w:rFonts w:ascii="宋体" w:eastAsia="宋体" w:hAnsi="宋体"/>
          <w:szCs w:val="21"/>
        </w:rPr>
        <w:t>的通知</w:t>
      </w:r>
      <w:r>
        <w:rPr>
          <w:rFonts w:ascii="宋体" w:eastAsia="宋体" w:hAnsi="宋体" w:hint="eastAsia"/>
          <w:szCs w:val="21"/>
        </w:rPr>
        <w:t>》（深财规【2</w:t>
      </w:r>
      <w:r>
        <w:rPr>
          <w:rFonts w:ascii="宋体" w:eastAsia="宋体" w:hAnsi="宋体"/>
          <w:szCs w:val="21"/>
        </w:rPr>
        <w:t>020</w:t>
      </w:r>
      <w:r>
        <w:rPr>
          <w:rFonts w:ascii="宋体" w:eastAsia="宋体" w:hAnsi="宋体" w:hint="eastAsia"/>
          <w:szCs w:val="21"/>
        </w:rPr>
        <w:t>】1号）执行。</w:t>
      </w:r>
    </w:p>
    <w:p>
      <w:pPr>
        <w:spacing w:line="360" w:lineRule="auto"/>
        <w:ind w:firstLine="412" w:firstLineChars="196"/>
        <w:rPr>
          <w:rFonts w:ascii="宋体" w:eastAsia="宋体" w:hAnsi="宋体"/>
          <w:szCs w:val="21"/>
        </w:rPr>
      </w:pPr>
      <w:r>
        <w:rPr>
          <w:rFonts w:ascii="宋体" w:eastAsia="宋体" w:hAnsi="宋体" w:hint="eastAsia"/>
          <w:szCs w:val="21"/>
        </w:rPr>
        <w:t>说明：采购人及投标供应商应按照上述方法提前做好相关准备。</w:t>
      </w:r>
    </w:p>
    <w:p>
      <w:pPr>
        <w:spacing w:line="360" w:lineRule="auto"/>
        <w:ind w:firstLine="412" w:firstLineChars="196"/>
        <w:rPr>
          <w:rFonts w:ascii="宋体" w:eastAsia="宋体" w:hAnsi="宋体"/>
          <w:szCs w:val="21"/>
        </w:rPr>
      </w:pPr>
      <w:r>
        <w:rPr>
          <w:rFonts w:ascii="宋体" w:eastAsia="宋体" w:hAnsi="宋体" w:hint="eastAsia"/>
          <w:szCs w:val="21"/>
        </w:rPr>
        <w:t>38.3专用条款另有规定的，按专用条款相关要求定标。</w:t>
      </w:r>
      <w:bookmarkEnd w:id="50"/>
    </w:p>
    <w:p>
      <w:pPr>
        <w:spacing w:line="360" w:lineRule="auto"/>
        <w:rPr>
          <w:rFonts w:ascii="宋体" w:eastAsia="宋体" w:hAnsi="宋体"/>
          <w:b/>
          <w:bCs/>
          <w:szCs w:val="21"/>
        </w:rPr>
      </w:pPr>
      <w:r>
        <w:rPr>
          <w:rFonts w:ascii="宋体" w:eastAsia="宋体" w:hAnsi="宋体" w:hint="eastAsia"/>
          <w:b/>
          <w:bCs/>
          <w:szCs w:val="21"/>
        </w:rPr>
        <w:t>39．编写评审报告</w:t>
      </w:r>
    </w:p>
    <w:p>
      <w:pPr>
        <w:spacing w:line="360" w:lineRule="auto"/>
        <w:ind w:firstLine="412" w:firstLineChars="196"/>
        <w:rPr>
          <w:rFonts w:ascii="宋体" w:eastAsia="宋体" w:hAnsi="宋体"/>
          <w:szCs w:val="21"/>
        </w:rPr>
      </w:pPr>
      <w:r>
        <w:rPr>
          <w:rFonts w:ascii="宋体" w:eastAsia="宋体" w:hAnsi="宋体" w:hint="eastAsia"/>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spacing w:line="360" w:lineRule="auto"/>
        <w:rPr>
          <w:rFonts w:ascii="宋体" w:eastAsia="宋体" w:hAnsi="宋体"/>
          <w:b/>
          <w:bCs/>
          <w:szCs w:val="21"/>
        </w:rPr>
      </w:pPr>
      <w:r>
        <w:rPr>
          <w:rFonts w:ascii="宋体" w:eastAsia="宋体" w:hAnsi="宋体" w:hint="eastAsia"/>
          <w:b/>
          <w:bCs/>
          <w:szCs w:val="21"/>
        </w:rPr>
        <w:t>40．中标公告</w:t>
      </w:r>
    </w:p>
    <w:p>
      <w:pPr>
        <w:spacing w:line="360" w:lineRule="auto"/>
        <w:ind w:firstLine="412" w:firstLineChars="196"/>
        <w:rPr>
          <w:rFonts w:ascii="宋体" w:eastAsia="宋体" w:hAnsi="宋体"/>
          <w:szCs w:val="21"/>
        </w:rPr>
      </w:pPr>
      <w:r>
        <w:rPr>
          <w:rFonts w:ascii="宋体" w:eastAsia="宋体" w:hAnsi="宋体" w:hint="eastAsia"/>
          <w:szCs w:val="21"/>
        </w:rPr>
        <w:t>40.1</w:t>
      </w:r>
      <w:bookmarkStart w:id="54" w:name="_Hlk72438709"/>
      <w:r>
        <w:rPr>
          <w:rFonts w:ascii="宋体" w:eastAsia="宋体" w:hAnsi="宋体" w:hint="eastAsia"/>
          <w:szCs w:val="21"/>
        </w:rPr>
        <w:t>为体现“公开、公平、公正”的原则，评审结束后经采购人确认（确定）评审结果，采购代理机构将在“深圳政府采购智慧平台（http://zfcg.szggzy.com/）”上发布中标结果公告。</w:t>
      </w:r>
      <w:bookmarkEnd w:id="54"/>
      <w:bookmarkStart w:id="55" w:name="_Hlk72438751"/>
      <w:r>
        <w:rPr>
          <w:rFonts w:ascii="宋体" w:eastAsia="宋体" w:hAnsi="宋体" w:hint="eastAsia"/>
          <w:szCs w:val="21"/>
        </w:rPr>
        <w:t>供应商如对评审结果有异议，</w:t>
      </w:r>
      <w:r>
        <w:rPr>
          <w:rFonts w:ascii="宋体" w:eastAsia="宋体" w:hAnsi="宋体"/>
          <w:szCs w:val="21"/>
        </w:rPr>
        <w:t>可在发布公示日期起</w:t>
      </w:r>
      <w:r>
        <w:rPr>
          <w:rFonts w:ascii="宋体" w:eastAsia="宋体" w:hAnsi="宋体" w:hint="eastAsia"/>
          <w:szCs w:val="21"/>
        </w:rPr>
        <w:t>七</w:t>
      </w:r>
      <w:r>
        <w:rPr>
          <w:rFonts w:ascii="宋体" w:eastAsia="宋体" w:hAnsi="宋体"/>
          <w:szCs w:val="21"/>
        </w:rPr>
        <w:t>个工作日内向</w:t>
      </w:r>
      <w:r>
        <w:rPr>
          <w:rFonts w:ascii="宋体" w:eastAsia="宋体" w:hAnsi="宋体" w:hint="eastAsia"/>
          <w:szCs w:val="21"/>
        </w:rPr>
        <w:t>采购代理机构</w:t>
      </w:r>
      <w:r>
        <w:rPr>
          <w:rFonts w:ascii="宋体" w:eastAsia="宋体" w:hAnsi="宋体"/>
          <w:szCs w:val="21"/>
        </w:rPr>
        <w:t>提出。 监督电话：0755-83948143。</w:t>
      </w:r>
      <w:r>
        <w:rPr>
          <w:rFonts w:ascii="宋体" w:eastAsia="宋体" w:hAnsi="宋体" w:hint="eastAsia"/>
          <w:szCs w:val="21"/>
        </w:rPr>
        <w:t>若在公示期内未提出质疑，则视为认同该评审结果。</w:t>
      </w:r>
    </w:p>
    <w:p>
      <w:pPr>
        <w:spacing w:line="360" w:lineRule="auto"/>
        <w:ind w:firstLine="412" w:firstLineChars="196"/>
        <w:rPr>
          <w:rFonts w:ascii="宋体" w:eastAsia="宋体" w:hAnsi="宋体"/>
          <w:szCs w:val="21"/>
        </w:rPr>
      </w:pPr>
      <w:bookmarkEnd w:id="55"/>
      <w:r>
        <w:rPr>
          <w:rFonts w:ascii="宋体" w:eastAsia="宋体" w:hAnsi="宋体" w:hint="eastAsia"/>
          <w:szCs w:val="21"/>
        </w:rPr>
        <w:t>40.2质疑、投诉供应商应保证质疑、投诉内容的真实性和可靠性，并承担相应的法律责任。</w:t>
      </w:r>
    </w:p>
    <w:p>
      <w:pPr>
        <w:spacing w:line="360" w:lineRule="auto"/>
        <w:rPr>
          <w:rFonts w:ascii="宋体" w:eastAsia="宋体" w:hAnsi="宋体"/>
          <w:b/>
          <w:bCs/>
          <w:szCs w:val="21"/>
        </w:rPr>
      </w:pPr>
      <w:r>
        <w:rPr>
          <w:rFonts w:ascii="宋体" w:eastAsia="宋体" w:hAnsi="宋体" w:hint="eastAsia"/>
          <w:b/>
          <w:bCs/>
          <w:szCs w:val="21"/>
        </w:rPr>
        <w:t>41．中标通知书</w:t>
      </w:r>
    </w:p>
    <w:p>
      <w:pPr>
        <w:spacing w:line="360" w:lineRule="auto"/>
        <w:ind w:firstLine="412" w:firstLineChars="196"/>
        <w:rPr>
          <w:rFonts w:ascii="宋体" w:eastAsia="宋体" w:hAnsi="宋体"/>
          <w:szCs w:val="21"/>
        </w:rPr>
      </w:pPr>
      <w:r>
        <w:rPr>
          <w:rFonts w:ascii="宋体" w:eastAsia="宋体" w:hAnsi="宋体" w:hint="eastAsia"/>
          <w:szCs w:val="21"/>
        </w:rPr>
        <w:t>41</w:t>
      </w:r>
      <w:r>
        <w:rPr>
          <w:rFonts w:ascii="宋体" w:eastAsia="宋体" w:hAnsi="宋体"/>
          <w:szCs w:val="21"/>
        </w:rPr>
        <w:t>.</w:t>
      </w:r>
      <w:r>
        <w:rPr>
          <w:rFonts w:ascii="宋体" w:eastAsia="宋体" w:hAnsi="宋体" w:hint="eastAsia"/>
          <w:szCs w:val="21"/>
        </w:rPr>
        <w:t>1</w:t>
      </w:r>
      <w:bookmarkStart w:id="56" w:name="_Hlk72438863"/>
      <w:r>
        <w:rPr>
          <w:rFonts w:ascii="宋体" w:eastAsia="宋体" w:hAnsi="宋体" w:hint="eastAsia"/>
          <w:szCs w:val="21"/>
        </w:rPr>
        <w:t>中标公告公布以后无异常的情况下,采购代理机构将向中标供应商和采购人发出中标通知书。</w:t>
      </w:r>
      <w:bookmarkEnd w:id="56"/>
    </w:p>
    <w:p>
      <w:pPr>
        <w:spacing w:line="360" w:lineRule="auto"/>
        <w:ind w:firstLine="412" w:firstLineChars="196"/>
        <w:rPr>
          <w:rFonts w:ascii="宋体" w:eastAsia="宋体" w:hAnsi="宋体"/>
          <w:szCs w:val="21"/>
        </w:rPr>
      </w:pPr>
      <w:r>
        <w:rPr>
          <w:rFonts w:ascii="宋体" w:eastAsia="宋体" w:hAnsi="宋体" w:hint="eastAsia"/>
          <w:szCs w:val="21"/>
        </w:rPr>
        <w:t>41</w:t>
      </w:r>
      <w:r>
        <w:rPr>
          <w:rFonts w:ascii="宋体" w:eastAsia="宋体" w:hAnsi="宋体"/>
          <w:szCs w:val="21"/>
        </w:rPr>
        <w:t>.2</w:t>
      </w:r>
      <w:r>
        <w:rPr>
          <w:rFonts w:ascii="宋体" w:eastAsia="宋体" w:hAnsi="宋体" w:hint="eastAsia"/>
          <w:szCs w:val="21"/>
        </w:rPr>
        <w:t>中标通知书是合同的重要组成部分。</w:t>
      </w:r>
    </w:p>
    <w:p>
      <w:pPr>
        <w:spacing w:line="360" w:lineRule="auto"/>
        <w:ind w:firstLine="412" w:firstLineChars="196"/>
        <w:rPr>
          <w:rFonts w:ascii="宋体" w:eastAsia="宋体" w:hAnsi="宋体"/>
          <w:szCs w:val="21"/>
        </w:rPr>
      </w:pPr>
      <w:bookmarkStart w:id="57" w:name="_Hlk71407340"/>
      <w:r>
        <w:rPr>
          <w:rFonts w:ascii="宋体" w:eastAsia="宋体" w:hAnsi="宋体" w:hint="eastAsia"/>
          <w:szCs w:val="21"/>
        </w:rPr>
        <w:t>41.3因质疑投诉或其它原因导致项目结果变更或采购终止的，采购代理机构有权吊销中标通知书。</w:t>
      </w:r>
    </w:p>
    <w:p>
      <w:pPr>
        <w:spacing w:line="360" w:lineRule="auto"/>
        <w:ind w:firstLine="412" w:firstLineChars="196"/>
        <w:rPr>
          <w:rFonts w:ascii="宋体" w:eastAsia="宋体" w:hAnsi="宋体" w:hint="eastAsia"/>
          <w:szCs w:val="21"/>
          <w:lang w:eastAsia="zh-CN"/>
        </w:rPr>
      </w:pPr>
      <w:r>
        <w:rPr>
          <w:rFonts w:ascii="宋体" w:eastAsia="宋体" w:hAnsi="宋体" w:hint="eastAsia"/>
          <w:szCs w:val="21"/>
        </w:rPr>
        <w:t>41.4</w:t>
      </w:r>
      <w:r>
        <w:rPr>
          <w:rFonts w:ascii="宋体" w:eastAsia="宋体" w:hAnsi="宋体" w:hint="eastAsia"/>
          <w:szCs w:val="21"/>
          <w:lang w:eastAsia="zh-CN"/>
        </w:rPr>
        <w:t>代理服务费</w:t>
      </w:r>
    </w:p>
    <w:p>
      <w:pPr>
        <w:spacing w:line="360" w:lineRule="auto"/>
        <w:ind w:firstLine="412" w:firstLineChars="196"/>
        <w:rPr>
          <w:rFonts w:ascii="宋体" w:eastAsia="宋体" w:hAnsi="宋体"/>
          <w:szCs w:val="21"/>
        </w:rPr>
      </w:pPr>
      <w:r>
        <w:rPr>
          <w:rFonts w:ascii="宋体" w:eastAsia="宋体" w:hAnsi="宋体" w:hint="eastAsia"/>
          <w:szCs w:val="21"/>
        </w:rPr>
        <w:t>中标人须在中标公告公示期结束后，向采购代理机构缴纳</w:t>
      </w:r>
      <w:r>
        <w:rPr>
          <w:rFonts w:ascii="宋体" w:eastAsia="宋体" w:hAnsi="宋体" w:hint="eastAsia"/>
          <w:szCs w:val="21"/>
          <w:lang w:eastAsia="zh-CN"/>
        </w:rPr>
        <w:t>代理服务费</w:t>
      </w:r>
      <w:r>
        <w:rPr>
          <w:rFonts w:ascii="宋体" w:eastAsia="宋体" w:hAnsi="宋体" w:hint="eastAsia"/>
          <w:szCs w:val="21"/>
        </w:rPr>
        <w:t>。</w:t>
      </w:r>
      <w:r>
        <w:rPr>
          <w:rFonts w:ascii="宋体" w:eastAsia="宋体" w:hAnsi="宋体" w:hint="eastAsia"/>
          <w:szCs w:val="21"/>
          <w:lang w:eastAsia="zh-CN"/>
        </w:rPr>
        <w:t>代理服务费</w:t>
      </w:r>
      <w:r>
        <w:rPr>
          <w:rFonts w:ascii="宋体" w:eastAsia="宋体" w:hAnsi="宋体" w:hint="eastAsia"/>
          <w:szCs w:val="21"/>
        </w:rPr>
        <w:t>收费标准根据《深圳市财政委员会关于规范深圳市社会采购代理机构的管理有关事项的补充通知（深财购[2018]27号）》文件相关规定，按照差额定率累进法计算。具体收费标准详见下表：</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802"/>
        <w:gridCol w:w="2027"/>
        <w:gridCol w:w="2158"/>
        <w:gridCol w:w="2158"/>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62"/>
          <w:jc w:val="center"/>
        </w:trPr>
        <w:tc>
          <w:tcPr>
            <w:tcW w:w="2802" w:type="dxa"/>
            <w:noWrap w:val="0"/>
            <w:vAlign w:val="top"/>
          </w:tcPr>
          <w:p>
            <w:pPr>
              <w:spacing w:line="360" w:lineRule="auto"/>
              <w:ind w:firstLine="1630" w:firstLineChars="776"/>
              <w:rPr>
                <w:rFonts w:ascii="宋体" w:eastAsia="宋体" w:hAnsi="宋体"/>
                <w:b/>
                <w:szCs w:val="21"/>
              </w:rPr>
            </w:pPr>
            <w:r>
              <w:rPr>
                <w:rFonts w:ascii="宋体" w:eastAsia="宋体" w:hAnsi="宋体"/>
                <w:szCs w:val="21"/>
              </w:rPr>
              <w:pict>
                <v:line id="_x0000_s1026" o:spid="_x0000_s1026" style="flip:x y;mso-height-relative:page;mso-width-relative:page;position:absolute;z-index:251660288" from="-1.5pt,34.35pt" to="135pt,65.4pt" coordsize="21600,21600" o:allowincell="f" stroked="t">
                  <v:stroke joinstyle="round"/>
                  <o:lock v:ext="edit" aspectratio="f"/>
                </v:line>
              </w:pict>
            </w:r>
            <w:r>
              <w:rPr>
                <w:rFonts w:ascii="宋体" w:eastAsia="宋体" w:hAnsi="宋体"/>
                <w:szCs w:val="21"/>
              </w:rPr>
              <w:pict>
                <v:line id="_x0000_s1027" o:spid="_x0000_s1027" style="flip:x y;mso-height-relative:page;mso-width-relative:page;position:absolute;z-index:251659264" from="30.9pt,2.5pt" to="135pt,65.4pt" coordsize="21600,21600" o:allowincell="f" stroked="t">
                  <v:stroke joinstyle="round"/>
                  <o:lock v:ext="edit" aspectratio="f"/>
                </v:line>
              </w:pict>
            </w:r>
            <w:r>
              <w:rPr>
                <w:rFonts w:ascii="宋体" w:eastAsia="宋体" w:hAnsi="宋体"/>
                <w:szCs w:val="21"/>
              </w:rPr>
              <w:pict>
                <v:line id="直接连接符 5" o:spid="_x0000_s1028" style="mso-height-relative:page;mso-width-relative:page;position:absolute;z-index:251661312" from="-9pt,-0.5pt" to="-8.95pt,-0.5pt" coordsize="21600,21600" o:allowincell="f" stroked="t">
                  <v:stroke joinstyle="round"/>
                  <o:lock v:ext="edit" aspectratio="f"/>
                </v:line>
              </w:pict>
            </w:r>
            <w:r>
              <w:rPr>
                <w:rFonts w:ascii="宋体" w:eastAsia="宋体" w:hAnsi="宋体" w:hint="eastAsia"/>
                <w:b/>
                <w:szCs w:val="21"/>
              </w:rPr>
              <w:t>服务类型</w:t>
            </w:r>
          </w:p>
          <w:p>
            <w:pPr>
              <w:spacing w:line="360" w:lineRule="auto"/>
              <w:ind w:firstLine="634" w:firstLineChars="302"/>
              <w:rPr>
                <w:rFonts w:ascii="宋体" w:eastAsia="宋体" w:hAnsi="宋体"/>
                <w:b/>
                <w:szCs w:val="21"/>
              </w:rPr>
            </w:pPr>
            <w:r>
              <w:rPr>
                <w:rFonts w:ascii="宋体" w:eastAsia="宋体" w:hAnsi="宋体" w:hint="eastAsia"/>
                <w:b/>
                <w:szCs w:val="21"/>
              </w:rPr>
              <w:t>费率　　　　　</w:t>
            </w:r>
          </w:p>
          <w:p>
            <w:pPr>
              <w:spacing w:line="360" w:lineRule="auto"/>
              <w:rPr>
                <w:rFonts w:ascii="宋体" w:eastAsia="宋体" w:hAnsi="宋体"/>
                <w:b/>
                <w:szCs w:val="21"/>
              </w:rPr>
            </w:pPr>
            <w:r>
              <w:rPr>
                <w:rFonts w:ascii="宋体" w:eastAsia="宋体" w:hAnsi="宋体" w:hint="eastAsia"/>
                <w:b/>
                <w:szCs w:val="21"/>
              </w:rPr>
              <w:t>中标金额（万元）</w:t>
            </w:r>
          </w:p>
        </w:tc>
        <w:tc>
          <w:tcPr>
            <w:tcW w:w="2027" w:type="dxa"/>
            <w:noWrap w:val="0"/>
            <w:vAlign w:val="center"/>
          </w:tcPr>
          <w:p>
            <w:pPr>
              <w:spacing w:line="360" w:lineRule="auto"/>
              <w:jc w:val="center"/>
              <w:rPr>
                <w:rFonts w:ascii="宋体" w:eastAsia="宋体" w:hAnsi="宋体"/>
                <w:b/>
                <w:szCs w:val="21"/>
              </w:rPr>
            </w:pPr>
            <w:r>
              <w:rPr>
                <w:rFonts w:ascii="宋体" w:eastAsia="宋体" w:hAnsi="宋体" w:hint="eastAsia"/>
                <w:b/>
                <w:szCs w:val="21"/>
              </w:rPr>
              <w:t>货物招标</w:t>
            </w:r>
          </w:p>
        </w:tc>
        <w:tc>
          <w:tcPr>
            <w:tcW w:w="2158" w:type="dxa"/>
            <w:noWrap w:val="0"/>
            <w:vAlign w:val="center"/>
          </w:tcPr>
          <w:p>
            <w:pPr>
              <w:spacing w:line="360" w:lineRule="auto"/>
              <w:jc w:val="center"/>
              <w:rPr>
                <w:rFonts w:ascii="宋体" w:eastAsia="宋体" w:hAnsi="宋体"/>
                <w:b/>
                <w:szCs w:val="21"/>
              </w:rPr>
            </w:pPr>
            <w:r>
              <w:rPr>
                <w:rFonts w:ascii="宋体" w:eastAsia="宋体" w:hAnsi="宋体" w:hint="eastAsia"/>
                <w:b/>
                <w:szCs w:val="21"/>
              </w:rPr>
              <w:t>服务招标</w:t>
            </w:r>
          </w:p>
        </w:tc>
        <w:tc>
          <w:tcPr>
            <w:tcW w:w="2158" w:type="dxa"/>
            <w:noWrap w:val="0"/>
            <w:vAlign w:val="center"/>
          </w:tcPr>
          <w:p>
            <w:pPr>
              <w:spacing w:line="360" w:lineRule="auto"/>
              <w:jc w:val="center"/>
              <w:rPr>
                <w:rFonts w:ascii="宋体" w:eastAsia="宋体" w:hAnsi="宋体"/>
                <w:b/>
                <w:szCs w:val="21"/>
              </w:rPr>
            </w:pPr>
            <w:r>
              <w:rPr>
                <w:rFonts w:ascii="宋体" w:eastAsia="宋体" w:hAnsi="宋体" w:hint="eastAsia"/>
                <w:b/>
                <w:szCs w:val="21"/>
              </w:rPr>
              <w:t>工程招标</w:t>
            </w:r>
          </w:p>
        </w:tc>
      </w:tr>
      <w:tr>
        <w:tblPrEx>
          <w:tblW w:w="0" w:type="auto"/>
          <w:jc w:val="center"/>
          <w:tblLayout w:type="fixed"/>
          <w:tblCellMar>
            <w:top w:w="0" w:type="dxa"/>
            <w:left w:w="108" w:type="dxa"/>
            <w:bottom w:w="0" w:type="dxa"/>
            <w:right w:w="108" w:type="dxa"/>
          </w:tblCellMar>
        </w:tblPrEx>
        <w:trPr>
          <w:trHeight w:val="401"/>
          <w:jc w:val="center"/>
        </w:trPr>
        <w:tc>
          <w:tcPr>
            <w:tcW w:w="2802" w:type="dxa"/>
            <w:noWrap w:val="0"/>
            <w:vAlign w:val="center"/>
          </w:tcPr>
          <w:p>
            <w:pPr>
              <w:spacing w:line="360" w:lineRule="auto"/>
              <w:jc w:val="center"/>
              <w:rPr>
                <w:rFonts w:ascii="宋体" w:eastAsia="宋体" w:hAnsi="宋体"/>
                <w:szCs w:val="21"/>
              </w:rPr>
            </w:pPr>
            <w:r>
              <w:rPr>
                <w:rFonts w:ascii="宋体" w:eastAsia="宋体" w:hAnsi="宋体"/>
                <w:szCs w:val="21"/>
              </w:rPr>
              <w:t>100</w:t>
            </w:r>
            <w:r>
              <w:rPr>
                <w:rFonts w:ascii="宋体" w:eastAsia="宋体" w:hAnsi="宋体" w:hint="eastAsia"/>
                <w:szCs w:val="21"/>
              </w:rPr>
              <w:t>以下</w:t>
            </w:r>
          </w:p>
        </w:tc>
        <w:tc>
          <w:tcPr>
            <w:tcW w:w="2027" w:type="dxa"/>
            <w:noWrap w:val="0"/>
            <w:vAlign w:val="center"/>
          </w:tcPr>
          <w:p>
            <w:pPr>
              <w:spacing w:line="360" w:lineRule="auto"/>
              <w:jc w:val="center"/>
              <w:rPr>
                <w:rFonts w:ascii="宋体" w:eastAsia="宋体" w:hAnsi="宋体"/>
                <w:szCs w:val="21"/>
              </w:rPr>
            </w:pPr>
            <w:r>
              <w:rPr>
                <w:rFonts w:ascii="宋体" w:eastAsia="宋体" w:hAnsi="宋体"/>
                <w:szCs w:val="21"/>
              </w:rPr>
              <w:t>1.500%</w:t>
            </w:r>
          </w:p>
        </w:tc>
        <w:tc>
          <w:tcPr>
            <w:tcW w:w="2158" w:type="dxa"/>
            <w:noWrap w:val="0"/>
            <w:vAlign w:val="center"/>
          </w:tcPr>
          <w:p>
            <w:pPr>
              <w:spacing w:line="360" w:lineRule="auto"/>
              <w:jc w:val="center"/>
              <w:rPr>
                <w:rFonts w:ascii="宋体" w:eastAsia="宋体" w:hAnsi="宋体"/>
                <w:szCs w:val="21"/>
              </w:rPr>
            </w:pPr>
            <w:r>
              <w:rPr>
                <w:rFonts w:ascii="宋体" w:eastAsia="宋体" w:hAnsi="宋体"/>
                <w:szCs w:val="21"/>
              </w:rPr>
              <w:t>1.500%</w:t>
            </w:r>
          </w:p>
        </w:tc>
        <w:tc>
          <w:tcPr>
            <w:tcW w:w="2158" w:type="dxa"/>
            <w:noWrap w:val="0"/>
            <w:vAlign w:val="center"/>
          </w:tcPr>
          <w:p>
            <w:pPr>
              <w:snapToGrid w:val="0"/>
              <w:spacing w:line="360" w:lineRule="auto"/>
              <w:jc w:val="center"/>
              <w:rPr>
                <w:rFonts w:ascii="宋体" w:eastAsia="宋体" w:hAnsi="宋体"/>
                <w:szCs w:val="21"/>
              </w:rPr>
            </w:pPr>
            <w:r>
              <w:rPr>
                <w:rFonts w:ascii="宋体" w:eastAsia="宋体" w:hAnsi="宋体" w:hint="eastAsia"/>
                <w:szCs w:val="21"/>
              </w:rPr>
              <w:t>1.000%</w:t>
            </w:r>
          </w:p>
        </w:tc>
      </w:tr>
      <w:tr>
        <w:tblPrEx>
          <w:tblW w:w="0" w:type="auto"/>
          <w:jc w:val="center"/>
          <w:tblLayout w:type="fixed"/>
          <w:tblCellMar>
            <w:top w:w="0" w:type="dxa"/>
            <w:left w:w="108" w:type="dxa"/>
            <w:bottom w:w="0" w:type="dxa"/>
            <w:right w:w="108" w:type="dxa"/>
          </w:tblCellMar>
        </w:tblPrEx>
        <w:trPr>
          <w:trHeight w:val="401"/>
          <w:jc w:val="center"/>
        </w:trPr>
        <w:tc>
          <w:tcPr>
            <w:tcW w:w="2802" w:type="dxa"/>
            <w:noWrap w:val="0"/>
            <w:vAlign w:val="center"/>
          </w:tcPr>
          <w:p>
            <w:pPr>
              <w:spacing w:line="360" w:lineRule="auto"/>
              <w:jc w:val="center"/>
              <w:rPr>
                <w:rFonts w:ascii="宋体" w:eastAsia="宋体" w:hAnsi="宋体"/>
                <w:szCs w:val="21"/>
              </w:rPr>
            </w:pPr>
            <w:r>
              <w:rPr>
                <w:rFonts w:ascii="宋体" w:eastAsia="宋体" w:hAnsi="宋体"/>
                <w:szCs w:val="21"/>
              </w:rPr>
              <w:t>100</w:t>
            </w:r>
            <w:r>
              <w:rPr>
                <w:rFonts w:ascii="宋体" w:eastAsia="宋体" w:hAnsi="宋体" w:hint="eastAsia"/>
                <w:szCs w:val="21"/>
              </w:rPr>
              <w:t>～</w:t>
            </w:r>
            <w:r>
              <w:rPr>
                <w:rFonts w:ascii="宋体" w:eastAsia="宋体" w:hAnsi="宋体"/>
                <w:szCs w:val="21"/>
              </w:rPr>
              <w:t>500</w:t>
            </w:r>
          </w:p>
        </w:tc>
        <w:tc>
          <w:tcPr>
            <w:tcW w:w="2027" w:type="dxa"/>
            <w:noWrap w:val="0"/>
            <w:vAlign w:val="center"/>
          </w:tcPr>
          <w:p>
            <w:pPr>
              <w:spacing w:line="360" w:lineRule="auto"/>
              <w:jc w:val="center"/>
              <w:rPr>
                <w:rFonts w:ascii="宋体" w:eastAsia="宋体" w:hAnsi="宋体"/>
                <w:szCs w:val="21"/>
              </w:rPr>
            </w:pPr>
            <w:r>
              <w:rPr>
                <w:rFonts w:ascii="宋体" w:eastAsia="宋体" w:hAnsi="宋体"/>
                <w:szCs w:val="21"/>
              </w:rPr>
              <w:t>1.100%</w:t>
            </w:r>
          </w:p>
        </w:tc>
        <w:tc>
          <w:tcPr>
            <w:tcW w:w="2158" w:type="dxa"/>
            <w:noWrap w:val="0"/>
            <w:vAlign w:val="center"/>
          </w:tcPr>
          <w:p>
            <w:pPr>
              <w:spacing w:line="360" w:lineRule="auto"/>
              <w:jc w:val="center"/>
              <w:rPr>
                <w:rFonts w:ascii="宋体" w:eastAsia="宋体" w:hAnsi="宋体"/>
                <w:szCs w:val="21"/>
              </w:rPr>
            </w:pPr>
            <w:r>
              <w:rPr>
                <w:rFonts w:ascii="宋体" w:eastAsia="宋体" w:hAnsi="宋体"/>
                <w:szCs w:val="21"/>
              </w:rPr>
              <w:t>0.800%</w:t>
            </w:r>
          </w:p>
        </w:tc>
        <w:tc>
          <w:tcPr>
            <w:tcW w:w="2158" w:type="dxa"/>
            <w:noWrap w:val="0"/>
            <w:vAlign w:val="center"/>
          </w:tcPr>
          <w:p>
            <w:pPr>
              <w:snapToGrid w:val="0"/>
              <w:spacing w:line="360" w:lineRule="auto"/>
              <w:jc w:val="center"/>
              <w:rPr>
                <w:rFonts w:ascii="宋体" w:eastAsia="宋体" w:hAnsi="宋体"/>
                <w:szCs w:val="21"/>
              </w:rPr>
            </w:pPr>
            <w:r>
              <w:rPr>
                <w:rFonts w:ascii="宋体" w:eastAsia="宋体" w:hAnsi="宋体" w:hint="eastAsia"/>
                <w:szCs w:val="21"/>
              </w:rPr>
              <w:t>0.700%</w:t>
            </w:r>
          </w:p>
        </w:tc>
      </w:tr>
      <w:tr>
        <w:tblPrEx>
          <w:tblW w:w="0" w:type="auto"/>
          <w:jc w:val="center"/>
          <w:tblLayout w:type="fixed"/>
          <w:tblCellMar>
            <w:top w:w="0" w:type="dxa"/>
            <w:left w:w="108" w:type="dxa"/>
            <w:bottom w:w="0" w:type="dxa"/>
            <w:right w:w="108" w:type="dxa"/>
          </w:tblCellMar>
        </w:tblPrEx>
        <w:trPr>
          <w:trHeight w:val="401"/>
          <w:jc w:val="center"/>
        </w:trPr>
        <w:tc>
          <w:tcPr>
            <w:tcW w:w="2802" w:type="dxa"/>
            <w:noWrap w:val="0"/>
            <w:vAlign w:val="center"/>
          </w:tcPr>
          <w:p>
            <w:pPr>
              <w:spacing w:line="360" w:lineRule="auto"/>
              <w:jc w:val="center"/>
              <w:rPr>
                <w:rFonts w:ascii="宋体" w:eastAsia="宋体" w:hAnsi="宋体"/>
                <w:szCs w:val="21"/>
              </w:rPr>
            </w:pPr>
            <w:r>
              <w:rPr>
                <w:rFonts w:ascii="宋体" w:eastAsia="宋体" w:hAnsi="宋体"/>
                <w:szCs w:val="21"/>
              </w:rPr>
              <w:t>500</w:t>
            </w:r>
            <w:r>
              <w:rPr>
                <w:rFonts w:ascii="宋体" w:eastAsia="宋体" w:hAnsi="宋体" w:hint="eastAsia"/>
                <w:szCs w:val="21"/>
              </w:rPr>
              <w:t>～</w:t>
            </w:r>
            <w:r>
              <w:rPr>
                <w:rFonts w:ascii="宋体" w:eastAsia="宋体" w:hAnsi="宋体"/>
                <w:szCs w:val="21"/>
              </w:rPr>
              <w:t>1</w:t>
            </w:r>
            <w:r>
              <w:rPr>
                <w:rFonts w:ascii="宋体" w:eastAsia="宋体" w:hAnsi="宋体" w:hint="eastAsia"/>
                <w:szCs w:val="21"/>
              </w:rPr>
              <w:t>000</w:t>
            </w:r>
          </w:p>
        </w:tc>
        <w:tc>
          <w:tcPr>
            <w:tcW w:w="2027" w:type="dxa"/>
            <w:noWrap w:val="0"/>
            <w:vAlign w:val="center"/>
          </w:tcPr>
          <w:p>
            <w:pPr>
              <w:spacing w:line="360" w:lineRule="auto"/>
              <w:jc w:val="center"/>
              <w:rPr>
                <w:rFonts w:ascii="宋体" w:eastAsia="宋体" w:hAnsi="宋体"/>
                <w:szCs w:val="21"/>
              </w:rPr>
            </w:pPr>
            <w:r>
              <w:rPr>
                <w:rFonts w:ascii="宋体" w:eastAsia="宋体" w:hAnsi="宋体"/>
                <w:szCs w:val="21"/>
              </w:rPr>
              <w:t>0.800%</w:t>
            </w:r>
          </w:p>
        </w:tc>
        <w:tc>
          <w:tcPr>
            <w:tcW w:w="2158" w:type="dxa"/>
            <w:noWrap w:val="0"/>
            <w:vAlign w:val="center"/>
          </w:tcPr>
          <w:p>
            <w:pPr>
              <w:spacing w:line="360" w:lineRule="auto"/>
              <w:jc w:val="center"/>
              <w:rPr>
                <w:rFonts w:ascii="宋体" w:eastAsia="宋体" w:hAnsi="宋体"/>
                <w:szCs w:val="21"/>
              </w:rPr>
            </w:pPr>
            <w:r>
              <w:rPr>
                <w:rFonts w:ascii="宋体" w:eastAsia="宋体" w:hAnsi="宋体"/>
                <w:szCs w:val="21"/>
              </w:rPr>
              <w:t>0.450%</w:t>
            </w:r>
          </w:p>
        </w:tc>
        <w:tc>
          <w:tcPr>
            <w:tcW w:w="2158" w:type="dxa"/>
            <w:noWrap w:val="0"/>
            <w:vAlign w:val="center"/>
          </w:tcPr>
          <w:p>
            <w:pPr>
              <w:snapToGrid w:val="0"/>
              <w:spacing w:line="360" w:lineRule="auto"/>
              <w:jc w:val="center"/>
              <w:rPr>
                <w:rFonts w:ascii="宋体" w:eastAsia="宋体" w:hAnsi="宋体"/>
                <w:szCs w:val="21"/>
              </w:rPr>
            </w:pPr>
            <w:r>
              <w:rPr>
                <w:rFonts w:ascii="宋体" w:eastAsia="宋体" w:hAnsi="宋体" w:hint="eastAsia"/>
                <w:szCs w:val="21"/>
              </w:rPr>
              <w:t>0.550%</w:t>
            </w:r>
          </w:p>
        </w:tc>
      </w:tr>
      <w:tr>
        <w:tblPrEx>
          <w:tblW w:w="0" w:type="auto"/>
          <w:jc w:val="center"/>
          <w:tblLayout w:type="fixed"/>
          <w:tblCellMar>
            <w:top w:w="0" w:type="dxa"/>
            <w:left w:w="108" w:type="dxa"/>
            <w:bottom w:w="0" w:type="dxa"/>
            <w:right w:w="108" w:type="dxa"/>
          </w:tblCellMar>
        </w:tblPrEx>
        <w:trPr>
          <w:trHeight w:val="401"/>
          <w:jc w:val="center"/>
        </w:trPr>
        <w:tc>
          <w:tcPr>
            <w:tcW w:w="2802" w:type="dxa"/>
            <w:noWrap w:val="0"/>
            <w:vAlign w:val="center"/>
          </w:tcPr>
          <w:p>
            <w:pPr>
              <w:spacing w:line="360" w:lineRule="auto"/>
              <w:jc w:val="center"/>
              <w:rPr>
                <w:rFonts w:ascii="宋体" w:eastAsia="宋体" w:hAnsi="宋体"/>
                <w:szCs w:val="21"/>
              </w:rPr>
            </w:pPr>
            <w:r>
              <w:rPr>
                <w:rFonts w:ascii="宋体" w:eastAsia="宋体" w:hAnsi="宋体"/>
                <w:szCs w:val="21"/>
              </w:rPr>
              <w:t>1</w:t>
            </w:r>
            <w:r>
              <w:rPr>
                <w:rFonts w:ascii="宋体" w:eastAsia="宋体" w:hAnsi="宋体" w:hint="eastAsia"/>
                <w:szCs w:val="21"/>
              </w:rPr>
              <w:t>000～</w:t>
            </w:r>
            <w:r>
              <w:rPr>
                <w:rFonts w:ascii="宋体" w:eastAsia="宋体" w:hAnsi="宋体"/>
                <w:szCs w:val="21"/>
              </w:rPr>
              <w:t>5</w:t>
            </w:r>
            <w:r>
              <w:rPr>
                <w:rFonts w:ascii="宋体" w:eastAsia="宋体" w:hAnsi="宋体" w:hint="eastAsia"/>
                <w:szCs w:val="21"/>
              </w:rPr>
              <w:t>000</w:t>
            </w:r>
          </w:p>
        </w:tc>
        <w:tc>
          <w:tcPr>
            <w:tcW w:w="2027" w:type="dxa"/>
            <w:noWrap w:val="0"/>
            <w:vAlign w:val="center"/>
          </w:tcPr>
          <w:p>
            <w:pPr>
              <w:spacing w:line="360" w:lineRule="auto"/>
              <w:jc w:val="center"/>
              <w:rPr>
                <w:rFonts w:ascii="宋体" w:eastAsia="宋体" w:hAnsi="宋体"/>
                <w:szCs w:val="21"/>
              </w:rPr>
            </w:pPr>
            <w:r>
              <w:rPr>
                <w:rFonts w:ascii="宋体" w:eastAsia="宋体" w:hAnsi="宋体"/>
                <w:szCs w:val="21"/>
              </w:rPr>
              <w:t>0.500%</w:t>
            </w:r>
          </w:p>
        </w:tc>
        <w:tc>
          <w:tcPr>
            <w:tcW w:w="2158" w:type="dxa"/>
            <w:noWrap w:val="0"/>
            <w:vAlign w:val="center"/>
          </w:tcPr>
          <w:p>
            <w:pPr>
              <w:spacing w:line="360" w:lineRule="auto"/>
              <w:jc w:val="center"/>
              <w:rPr>
                <w:rFonts w:ascii="宋体" w:eastAsia="宋体" w:hAnsi="宋体"/>
                <w:szCs w:val="21"/>
              </w:rPr>
            </w:pPr>
            <w:r>
              <w:rPr>
                <w:rFonts w:ascii="宋体" w:eastAsia="宋体" w:hAnsi="宋体"/>
                <w:szCs w:val="21"/>
              </w:rPr>
              <w:t>0.250%</w:t>
            </w:r>
          </w:p>
        </w:tc>
        <w:tc>
          <w:tcPr>
            <w:tcW w:w="2158" w:type="dxa"/>
            <w:noWrap w:val="0"/>
            <w:vAlign w:val="center"/>
          </w:tcPr>
          <w:p>
            <w:pPr>
              <w:snapToGrid w:val="0"/>
              <w:spacing w:line="360" w:lineRule="auto"/>
              <w:jc w:val="center"/>
              <w:rPr>
                <w:rFonts w:ascii="宋体" w:eastAsia="宋体" w:hAnsi="宋体"/>
                <w:szCs w:val="21"/>
              </w:rPr>
            </w:pPr>
            <w:r>
              <w:rPr>
                <w:rFonts w:ascii="宋体" w:eastAsia="宋体" w:hAnsi="宋体" w:hint="eastAsia"/>
                <w:szCs w:val="21"/>
              </w:rPr>
              <w:t>0.350%</w:t>
            </w:r>
          </w:p>
        </w:tc>
      </w:tr>
      <w:tr>
        <w:tblPrEx>
          <w:tblW w:w="0" w:type="auto"/>
          <w:jc w:val="center"/>
          <w:tblLayout w:type="fixed"/>
          <w:tblCellMar>
            <w:top w:w="0" w:type="dxa"/>
            <w:left w:w="108" w:type="dxa"/>
            <w:bottom w:w="0" w:type="dxa"/>
            <w:right w:w="108" w:type="dxa"/>
          </w:tblCellMar>
        </w:tblPrEx>
        <w:trPr>
          <w:trHeight w:val="401"/>
          <w:jc w:val="center"/>
        </w:trPr>
        <w:tc>
          <w:tcPr>
            <w:tcW w:w="2802" w:type="dxa"/>
            <w:noWrap w:val="0"/>
            <w:vAlign w:val="center"/>
          </w:tcPr>
          <w:p>
            <w:pPr>
              <w:spacing w:line="360" w:lineRule="auto"/>
              <w:jc w:val="center"/>
              <w:rPr>
                <w:rFonts w:ascii="宋体" w:eastAsia="宋体" w:hAnsi="宋体"/>
                <w:szCs w:val="21"/>
              </w:rPr>
            </w:pPr>
            <w:r>
              <w:rPr>
                <w:rFonts w:ascii="宋体" w:eastAsia="宋体" w:hAnsi="宋体"/>
                <w:szCs w:val="21"/>
              </w:rPr>
              <w:t>5</w:t>
            </w:r>
            <w:r>
              <w:rPr>
                <w:rFonts w:ascii="宋体" w:eastAsia="宋体" w:hAnsi="宋体" w:hint="eastAsia"/>
                <w:szCs w:val="21"/>
              </w:rPr>
              <w:t>000～</w:t>
            </w:r>
            <w:r>
              <w:rPr>
                <w:rFonts w:ascii="宋体" w:eastAsia="宋体" w:hAnsi="宋体"/>
                <w:szCs w:val="21"/>
              </w:rPr>
              <w:t>1</w:t>
            </w:r>
            <w:r>
              <w:rPr>
                <w:rFonts w:ascii="宋体" w:eastAsia="宋体" w:hAnsi="宋体" w:hint="eastAsia"/>
                <w:szCs w:val="21"/>
              </w:rPr>
              <w:t>0000</w:t>
            </w:r>
          </w:p>
        </w:tc>
        <w:tc>
          <w:tcPr>
            <w:tcW w:w="2027" w:type="dxa"/>
            <w:noWrap w:val="0"/>
            <w:vAlign w:val="center"/>
          </w:tcPr>
          <w:p>
            <w:pPr>
              <w:spacing w:line="360" w:lineRule="auto"/>
              <w:jc w:val="center"/>
              <w:rPr>
                <w:rFonts w:ascii="宋体" w:eastAsia="宋体" w:hAnsi="宋体"/>
                <w:szCs w:val="21"/>
              </w:rPr>
            </w:pPr>
            <w:r>
              <w:rPr>
                <w:rFonts w:ascii="宋体" w:eastAsia="宋体" w:hAnsi="宋体"/>
                <w:szCs w:val="21"/>
              </w:rPr>
              <w:t>0.250%</w:t>
            </w:r>
          </w:p>
        </w:tc>
        <w:tc>
          <w:tcPr>
            <w:tcW w:w="2158" w:type="dxa"/>
            <w:noWrap w:val="0"/>
            <w:vAlign w:val="center"/>
          </w:tcPr>
          <w:p>
            <w:pPr>
              <w:spacing w:line="360" w:lineRule="auto"/>
              <w:jc w:val="center"/>
              <w:rPr>
                <w:rFonts w:ascii="宋体" w:eastAsia="宋体" w:hAnsi="宋体"/>
                <w:szCs w:val="21"/>
              </w:rPr>
            </w:pPr>
            <w:r>
              <w:rPr>
                <w:rFonts w:ascii="宋体" w:eastAsia="宋体" w:hAnsi="宋体"/>
                <w:szCs w:val="21"/>
              </w:rPr>
              <w:t>0.100%</w:t>
            </w:r>
          </w:p>
        </w:tc>
        <w:tc>
          <w:tcPr>
            <w:tcW w:w="2158" w:type="dxa"/>
            <w:noWrap w:val="0"/>
            <w:vAlign w:val="center"/>
          </w:tcPr>
          <w:p>
            <w:pPr>
              <w:snapToGrid w:val="0"/>
              <w:spacing w:line="360" w:lineRule="auto"/>
              <w:jc w:val="center"/>
              <w:rPr>
                <w:rFonts w:ascii="宋体" w:eastAsia="宋体" w:hAnsi="宋体"/>
                <w:szCs w:val="21"/>
              </w:rPr>
            </w:pPr>
            <w:r>
              <w:rPr>
                <w:rFonts w:ascii="宋体" w:eastAsia="宋体" w:hAnsi="宋体" w:hint="eastAsia"/>
                <w:szCs w:val="21"/>
              </w:rPr>
              <w:t>0.200%</w:t>
            </w:r>
          </w:p>
        </w:tc>
      </w:tr>
      <w:tr>
        <w:tblPrEx>
          <w:tblW w:w="0" w:type="auto"/>
          <w:jc w:val="center"/>
          <w:tblLayout w:type="fixed"/>
          <w:tblCellMar>
            <w:top w:w="0" w:type="dxa"/>
            <w:left w:w="108" w:type="dxa"/>
            <w:bottom w:w="0" w:type="dxa"/>
            <w:right w:w="108" w:type="dxa"/>
          </w:tblCellMar>
        </w:tblPrEx>
        <w:trPr>
          <w:trHeight w:val="386"/>
          <w:jc w:val="center"/>
        </w:trPr>
        <w:tc>
          <w:tcPr>
            <w:tcW w:w="2802" w:type="dxa"/>
            <w:noWrap w:val="0"/>
            <w:vAlign w:val="center"/>
          </w:tcPr>
          <w:p>
            <w:pPr>
              <w:spacing w:line="360" w:lineRule="auto"/>
              <w:jc w:val="center"/>
              <w:rPr>
                <w:rFonts w:ascii="宋体" w:eastAsia="宋体" w:hAnsi="宋体"/>
                <w:szCs w:val="21"/>
              </w:rPr>
            </w:pPr>
            <w:r>
              <w:rPr>
                <w:rFonts w:ascii="宋体" w:eastAsia="宋体" w:hAnsi="宋体"/>
                <w:szCs w:val="21"/>
              </w:rPr>
              <w:t>1</w:t>
            </w:r>
            <w:r>
              <w:rPr>
                <w:rFonts w:ascii="宋体" w:eastAsia="宋体" w:hAnsi="宋体" w:hint="eastAsia"/>
                <w:szCs w:val="21"/>
              </w:rPr>
              <w:t>0000～</w:t>
            </w:r>
            <w:r>
              <w:rPr>
                <w:rFonts w:ascii="宋体" w:eastAsia="宋体" w:hAnsi="宋体"/>
                <w:szCs w:val="21"/>
              </w:rPr>
              <w:t>5</w:t>
            </w:r>
            <w:r>
              <w:rPr>
                <w:rFonts w:ascii="宋体" w:eastAsia="宋体" w:hAnsi="宋体" w:hint="eastAsia"/>
                <w:szCs w:val="21"/>
              </w:rPr>
              <w:t>0000</w:t>
            </w:r>
          </w:p>
        </w:tc>
        <w:tc>
          <w:tcPr>
            <w:tcW w:w="2027" w:type="dxa"/>
            <w:noWrap w:val="0"/>
            <w:vAlign w:val="center"/>
          </w:tcPr>
          <w:p>
            <w:pPr>
              <w:spacing w:line="360" w:lineRule="auto"/>
              <w:jc w:val="center"/>
              <w:rPr>
                <w:rFonts w:ascii="宋体" w:eastAsia="宋体" w:hAnsi="宋体"/>
                <w:szCs w:val="21"/>
              </w:rPr>
            </w:pPr>
            <w:r>
              <w:rPr>
                <w:rFonts w:ascii="宋体" w:eastAsia="宋体" w:hAnsi="宋体"/>
                <w:szCs w:val="21"/>
              </w:rPr>
              <w:t>0.050%</w:t>
            </w:r>
          </w:p>
        </w:tc>
        <w:tc>
          <w:tcPr>
            <w:tcW w:w="2158" w:type="dxa"/>
            <w:noWrap w:val="0"/>
            <w:vAlign w:val="center"/>
          </w:tcPr>
          <w:p>
            <w:pPr>
              <w:spacing w:line="360" w:lineRule="auto"/>
              <w:jc w:val="center"/>
              <w:rPr>
                <w:rFonts w:ascii="宋体" w:eastAsia="宋体" w:hAnsi="宋体"/>
                <w:szCs w:val="21"/>
              </w:rPr>
            </w:pPr>
            <w:r>
              <w:rPr>
                <w:rFonts w:ascii="宋体" w:eastAsia="宋体" w:hAnsi="宋体"/>
                <w:szCs w:val="21"/>
              </w:rPr>
              <w:t>0.050%</w:t>
            </w:r>
          </w:p>
        </w:tc>
        <w:tc>
          <w:tcPr>
            <w:tcW w:w="2158" w:type="dxa"/>
            <w:noWrap w:val="0"/>
            <w:vAlign w:val="center"/>
          </w:tcPr>
          <w:p>
            <w:pPr>
              <w:snapToGrid w:val="0"/>
              <w:spacing w:line="360" w:lineRule="auto"/>
              <w:jc w:val="center"/>
              <w:rPr>
                <w:rFonts w:ascii="宋体" w:eastAsia="宋体" w:hAnsi="宋体"/>
                <w:szCs w:val="21"/>
              </w:rPr>
            </w:pPr>
            <w:r>
              <w:rPr>
                <w:rFonts w:ascii="宋体" w:eastAsia="宋体" w:hAnsi="宋体" w:hint="eastAsia"/>
                <w:szCs w:val="21"/>
              </w:rPr>
              <w:t>0.050%</w:t>
            </w:r>
          </w:p>
        </w:tc>
      </w:tr>
      <w:tr>
        <w:tblPrEx>
          <w:tblW w:w="0" w:type="auto"/>
          <w:jc w:val="center"/>
          <w:tblLayout w:type="fixed"/>
          <w:tblCellMar>
            <w:top w:w="0" w:type="dxa"/>
            <w:left w:w="108" w:type="dxa"/>
            <w:bottom w:w="0" w:type="dxa"/>
            <w:right w:w="108" w:type="dxa"/>
          </w:tblCellMar>
        </w:tblPrEx>
        <w:trPr>
          <w:trHeight w:val="401"/>
          <w:jc w:val="center"/>
        </w:trPr>
        <w:tc>
          <w:tcPr>
            <w:tcW w:w="2802" w:type="dxa"/>
            <w:noWrap w:val="0"/>
            <w:vAlign w:val="center"/>
          </w:tcPr>
          <w:p>
            <w:pPr>
              <w:spacing w:line="360" w:lineRule="auto"/>
              <w:jc w:val="center"/>
              <w:rPr>
                <w:rFonts w:ascii="宋体" w:eastAsia="宋体" w:hAnsi="宋体"/>
                <w:szCs w:val="21"/>
              </w:rPr>
            </w:pPr>
            <w:r>
              <w:rPr>
                <w:rFonts w:ascii="宋体" w:eastAsia="宋体" w:hAnsi="宋体"/>
                <w:szCs w:val="21"/>
              </w:rPr>
              <w:t>5</w:t>
            </w:r>
            <w:r>
              <w:rPr>
                <w:rFonts w:ascii="宋体" w:eastAsia="宋体" w:hAnsi="宋体" w:hint="eastAsia"/>
                <w:szCs w:val="21"/>
              </w:rPr>
              <w:t>0000～</w:t>
            </w:r>
            <w:r>
              <w:rPr>
                <w:rFonts w:ascii="宋体" w:eastAsia="宋体" w:hAnsi="宋体"/>
                <w:szCs w:val="21"/>
              </w:rPr>
              <w:t>10</w:t>
            </w:r>
            <w:r>
              <w:rPr>
                <w:rFonts w:ascii="宋体" w:eastAsia="宋体" w:hAnsi="宋体" w:hint="eastAsia"/>
                <w:szCs w:val="21"/>
              </w:rPr>
              <w:t>0000</w:t>
            </w:r>
          </w:p>
        </w:tc>
        <w:tc>
          <w:tcPr>
            <w:tcW w:w="2027" w:type="dxa"/>
            <w:noWrap w:val="0"/>
            <w:vAlign w:val="center"/>
          </w:tcPr>
          <w:p>
            <w:pPr>
              <w:spacing w:line="360" w:lineRule="auto"/>
              <w:jc w:val="center"/>
              <w:rPr>
                <w:rFonts w:ascii="宋体" w:eastAsia="宋体" w:hAnsi="宋体"/>
                <w:szCs w:val="21"/>
              </w:rPr>
            </w:pPr>
            <w:r>
              <w:rPr>
                <w:rFonts w:ascii="宋体" w:eastAsia="宋体" w:hAnsi="宋体"/>
                <w:szCs w:val="21"/>
              </w:rPr>
              <w:t>0.035%</w:t>
            </w:r>
          </w:p>
        </w:tc>
        <w:tc>
          <w:tcPr>
            <w:tcW w:w="2158" w:type="dxa"/>
            <w:noWrap w:val="0"/>
            <w:vAlign w:val="center"/>
          </w:tcPr>
          <w:p>
            <w:pPr>
              <w:spacing w:line="360" w:lineRule="auto"/>
              <w:jc w:val="center"/>
              <w:rPr>
                <w:rFonts w:ascii="宋体" w:eastAsia="宋体" w:hAnsi="宋体"/>
                <w:szCs w:val="21"/>
              </w:rPr>
            </w:pPr>
            <w:r>
              <w:rPr>
                <w:rFonts w:ascii="宋体" w:eastAsia="宋体" w:hAnsi="宋体"/>
                <w:szCs w:val="21"/>
              </w:rPr>
              <w:t>0.035%</w:t>
            </w:r>
          </w:p>
        </w:tc>
        <w:tc>
          <w:tcPr>
            <w:tcW w:w="2158" w:type="dxa"/>
            <w:noWrap w:val="0"/>
            <w:vAlign w:val="center"/>
          </w:tcPr>
          <w:p>
            <w:pPr>
              <w:snapToGrid w:val="0"/>
              <w:spacing w:line="360" w:lineRule="auto"/>
              <w:jc w:val="center"/>
              <w:rPr>
                <w:rFonts w:ascii="宋体" w:eastAsia="宋体" w:hAnsi="宋体"/>
                <w:bCs/>
                <w:szCs w:val="21"/>
              </w:rPr>
            </w:pPr>
            <w:r>
              <w:rPr>
                <w:rFonts w:ascii="宋体" w:eastAsia="宋体" w:hAnsi="宋体" w:hint="eastAsia"/>
                <w:bCs/>
                <w:szCs w:val="21"/>
              </w:rPr>
              <w:t>0.035%</w:t>
            </w:r>
          </w:p>
        </w:tc>
      </w:tr>
      <w:tr>
        <w:tblPrEx>
          <w:tblW w:w="0" w:type="auto"/>
          <w:jc w:val="center"/>
          <w:tblLayout w:type="fixed"/>
          <w:tblCellMar>
            <w:top w:w="0" w:type="dxa"/>
            <w:left w:w="108" w:type="dxa"/>
            <w:bottom w:w="0" w:type="dxa"/>
            <w:right w:w="108" w:type="dxa"/>
          </w:tblCellMar>
        </w:tblPrEx>
        <w:trPr>
          <w:trHeight w:val="401"/>
          <w:jc w:val="center"/>
        </w:trPr>
        <w:tc>
          <w:tcPr>
            <w:tcW w:w="2802" w:type="dxa"/>
            <w:noWrap w:val="0"/>
            <w:vAlign w:val="center"/>
          </w:tcPr>
          <w:p>
            <w:pPr>
              <w:spacing w:line="360" w:lineRule="auto"/>
              <w:jc w:val="center"/>
              <w:rPr>
                <w:rFonts w:ascii="宋体" w:eastAsia="宋体" w:hAnsi="宋体"/>
                <w:szCs w:val="21"/>
              </w:rPr>
            </w:pPr>
            <w:r>
              <w:rPr>
                <w:rFonts w:ascii="宋体" w:eastAsia="宋体" w:hAnsi="宋体"/>
                <w:szCs w:val="21"/>
              </w:rPr>
              <w:t>10</w:t>
            </w:r>
            <w:r>
              <w:rPr>
                <w:rFonts w:ascii="宋体" w:eastAsia="宋体" w:hAnsi="宋体" w:hint="eastAsia"/>
                <w:szCs w:val="21"/>
              </w:rPr>
              <w:t>0000～</w:t>
            </w:r>
            <w:r>
              <w:rPr>
                <w:rFonts w:ascii="宋体" w:eastAsia="宋体" w:hAnsi="宋体"/>
                <w:szCs w:val="21"/>
              </w:rPr>
              <w:t>50</w:t>
            </w:r>
            <w:r>
              <w:rPr>
                <w:rFonts w:ascii="宋体" w:eastAsia="宋体" w:hAnsi="宋体" w:hint="eastAsia"/>
                <w:szCs w:val="21"/>
              </w:rPr>
              <w:t>0000</w:t>
            </w:r>
          </w:p>
        </w:tc>
        <w:tc>
          <w:tcPr>
            <w:tcW w:w="2027" w:type="dxa"/>
            <w:noWrap w:val="0"/>
            <w:vAlign w:val="center"/>
          </w:tcPr>
          <w:p>
            <w:pPr>
              <w:spacing w:line="360" w:lineRule="auto"/>
              <w:jc w:val="center"/>
              <w:rPr>
                <w:rFonts w:ascii="宋体" w:eastAsia="宋体" w:hAnsi="宋体"/>
                <w:szCs w:val="21"/>
              </w:rPr>
            </w:pPr>
            <w:r>
              <w:rPr>
                <w:rFonts w:ascii="宋体" w:eastAsia="宋体" w:hAnsi="宋体"/>
                <w:szCs w:val="21"/>
              </w:rPr>
              <w:t>0.008%</w:t>
            </w:r>
          </w:p>
        </w:tc>
        <w:tc>
          <w:tcPr>
            <w:tcW w:w="2158" w:type="dxa"/>
            <w:noWrap w:val="0"/>
            <w:vAlign w:val="center"/>
          </w:tcPr>
          <w:p>
            <w:pPr>
              <w:spacing w:line="360" w:lineRule="auto"/>
              <w:jc w:val="center"/>
              <w:rPr>
                <w:rFonts w:ascii="宋体" w:eastAsia="宋体" w:hAnsi="宋体"/>
                <w:szCs w:val="21"/>
              </w:rPr>
            </w:pPr>
            <w:r>
              <w:rPr>
                <w:rFonts w:ascii="宋体" w:eastAsia="宋体" w:hAnsi="宋体"/>
                <w:szCs w:val="21"/>
              </w:rPr>
              <w:t>0.008%</w:t>
            </w:r>
          </w:p>
        </w:tc>
        <w:tc>
          <w:tcPr>
            <w:tcW w:w="2158" w:type="dxa"/>
            <w:noWrap w:val="0"/>
            <w:vAlign w:val="center"/>
          </w:tcPr>
          <w:p>
            <w:pPr>
              <w:snapToGrid w:val="0"/>
              <w:spacing w:line="360" w:lineRule="auto"/>
              <w:jc w:val="center"/>
              <w:rPr>
                <w:rFonts w:ascii="宋体" w:eastAsia="宋体" w:hAnsi="宋体"/>
                <w:bCs/>
                <w:szCs w:val="21"/>
              </w:rPr>
            </w:pPr>
            <w:r>
              <w:rPr>
                <w:rFonts w:ascii="宋体" w:eastAsia="宋体" w:hAnsi="宋体" w:hint="eastAsia"/>
                <w:bCs/>
                <w:szCs w:val="21"/>
              </w:rPr>
              <w:t>0.008%</w:t>
            </w:r>
          </w:p>
        </w:tc>
      </w:tr>
      <w:tr>
        <w:tblPrEx>
          <w:tblW w:w="0" w:type="auto"/>
          <w:jc w:val="center"/>
          <w:tblLayout w:type="fixed"/>
          <w:tblCellMar>
            <w:top w:w="0" w:type="dxa"/>
            <w:left w:w="108" w:type="dxa"/>
            <w:bottom w:w="0" w:type="dxa"/>
            <w:right w:w="108" w:type="dxa"/>
          </w:tblCellMar>
        </w:tblPrEx>
        <w:trPr>
          <w:trHeight w:val="401"/>
          <w:jc w:val="center"/>
        </w:trPr>
        <w:tc>
          <w:tcPr>
            <w:tcW w:w="2802" w:type="dxa"/>
            <w:noWrap w:val="0"/>
            <w:vAlign w:val="center"/>
          </w:tcPr>
          <w:p>
            <w:pPr>
              <w:spacing w:line="360" w:lineRule="auto"/>
              <w:jc w:val="center"/>
              <w:rPr>
                <w:rFonts w:ascii="宋体" w:eastAsia="宋体" w:hAnsi="宋体"/>
                <w:szCs w:val="21"/>
              </w:rPr>
            </w:pPr>
            <w:r>
              <w:rPr>
                <w:rFonts w:ascii="宋体" w:eastAsia="宋体" w:hAnsi="宋体"/>
                <w:szCs w:val="21"/>
              </w:rPr>
              <w:t>50</w:t>
            </w:r>
            <w:r>
              <w:rPr>
                <w:rFonts w:ascii="宋体" w:eastAsia="宋体" w:hAnsi="宋体" w:hint="eastAsia"/>
                <w:szCs w:val="21"/>
              </w:rPr>
              <w:t>0000～</w:t>
            </w:r>
            <w:r>
              <w:rPr>
                <w:rFonts w:ascii="宋体" w:eastAsia="宋体" w:hAnsi="宋体"/>
                <w:szCs w:val="21"/>
              </w:rPr>
              <w:t>100</w:t>
            </w:r>
            <w:r>
              <w:rPr>
                <w:rFonts w:ascii="宋体" w:eastAsia="宋体" w:hAnsi="宋体" w:hint="eastAsia"/>
                <w:szCs w:val="21"/>
              </w:rPr>
              <w:t>0000</w:t>
            </w:r>
          </w:p>
        </w:tc>
        <w:tc>
          <w:tcPr>
            <w:tcW w:w="2027" w:type="dxa"/>
            <w:noWrap w:val="0"/>
            <w:vAlign w:val="center"/>
          </w:tcPr>
          <w:p>
            <w:pPr>
              <w:spacing w:line="360" w:lineRule="auto"/>
              <w:jc w:val="center"/>
              <w:rPr>
                <w:rFonts w:ascii="宋体" w:eastAsia="宋体" w:hAnsi="宋体"/>
                <w:szCs w:val="21"/>
              </w:rPr>
            </w:pPr>
            <w:r>
              <w:rPr>
                <w:rFonts w:ascii="宋体" w:eastAsia="宋体" w:hAnsi="宋体"/>
                <w:szCs w:val="21"/>
              </w:rPr>
              <w:t>0.006%</w:t>
            </w:r>
          </w:p>
        </w:tc>
        <w:tc>
          <w:tcPr>
            <w:tcW w:w="2158" w:type="dxa"/>
            <w:noWrap w:val="0"/>
            <w:vAlign w:val="center"/>
          </w:tcPr>
          <w:p>
            <w:pPr>
              <w:spacing w:line="360" w:lineRule="auto"/>
              <w:jc w:val="center"/>
              <w:rPr>
                <w:rFonts w:ascii="宋体" w:eastAsia="宋体" w:hAnsi="宋体"/>
                <w:szCs w:val="21"/>
              </w:rPr>
            </w:pPr>
            <w:r>
              <w:rPr>
                <w:rFonts w:ascii="宋体" w:eastAsia="宋体" w:hAnsi="宋体"/>
                <w:szCs w:val="21"/>
              </w:rPr>
              <w:t>0.006%</w:t>
            </w:r>
          </w:p>
        </w:tc>
        <w:tc>
          <w:tcPr>
            <w:tcW w:w="2158" w:type="dxa"/>
            <w:noWrap w:val="0"/>
            <w:vAlign w:val="center"/>
          </w:tcPr>
          <w:p>
            <w:pPr>
              <w:snapToGrid w:val="0"/>
              <w:spacing w:line="360" w:lineRule="auto"/>
              <w:jc w:val="center"/>
              <w:rPr>
                <w:rFonts w:ascii="宋体" w:eastAsia="宋体" w:hAnsi="宋体"/>
                <w:bCs/>
                <w:szCs w:val="21"/>
              </w:rPr>
            </w:pPr>
            <w:r>
              <w:rPr>
                <w:rFonts w:ascii="宋体" w:eastAsia="宋体" w:hAnsi="宋体" w:hint="eastAsia"/>
                <w:bCs/>
                <w:szCs w:val="21"/>
              </w:rPr>
              <w:t>0.006%</w:t>
            </w:r>
          </w:p>
        </w:tc>
      </w:tr>
      <w:tr>
        <w:tblPrEx>
          <w:tblW w:w="0" w:type="auto"/>
          <w:jc w:val="center"/>
          <w:tblLayout w:type="fixed"/>
          <w:tblCellMar>
            <w:top w:w="0" w:type="dxa"/>
            <w:left w:w="108" w:type="dxa"/>
            <w:bottom w:w="0" w:type="dxa"/>
            <w:right w:w="108" w:type="dxa"/>
          </w:tblCellMar>
        </w:tblPrEx>
        <w:trPr>
          <w:trHeight w:val="416"/>
          <w:jc w:val="center"/>
        </w:trPr>
        <w:tc>
          <w:tcPr>
            <w:tcW w:w="2802" w:type="dxa"/>
            <w:noWrap w:val="0"/>
            <w:vAlign w:val="center"/>
          </w:tcPr>
          <w:p>
            <w:pPr>
              <w:spacing w:line="360" w:lineRule="auto"/>
              <w:jc w:val="center"/>
              <w:rPr>
                <w:rFonts w:ascii="宋体" w:eastAsia="宋体" w:hAnsi="宋体"/>
                <w:szCs w:val="21"/>
              </w:rPr>
            </w:pPr>
            <w:r>
              <w:rPr>
                <w:rFonts w:ascii="宋体" w:eastAsia="宋体" w:hAnsi="宋体"/>
                <w:szCs w:val="21"/>
              </w:rPr>
              <w:t>100</w:t>
            </w:r>
            <w:r>
              <w:rPr>
                <w:rFonts w:ascii="宋体" w:eastAsia="宋体" w:hAnsi="宋体" w:hint="eastAsia"/>
                <w:szCs w:val="21"/>
              </w:rPr>
              <w:t>0000以上</w:t>
            </w:r>
          </w:p>
        </w:tc>
        <w:tc>
          <w:tcPr>
            <w:tcW w:w="2027" w:type="dxa"/>
            <w:noWrap w:val="0"/>
            <w:vAlign w:val="center"/>
          </w:tcPr>
          <w:p>
            <w:pPr>
              <w:spacing w:line="360" w:lineRule="auto"/>
              <w:jc w:val="center"/>
              <w:rPr>
                <w:rFonts w:ascii="宋体" w:eastAsia="宋体" w:hAnsi="宋体"/>
                <w:szCs w:val="21"/>
              </w:rPr>
            </w:pPr>
            <w:r>
              <w:rPr>
                <w:rFonts w:ascii="宋体" w:eastAsia="宋体" w:hAnsi="宋体"/>
                <w:szCs w:val="21"/>
              </w:rPr>
              <w:t>0.004%</w:t>
            </w:r>
          </w:p>
        </w:tc>
        <w:tc>
          <w:tcPr>
            <w:tcW w:w="2158" w:type="dxa"/>
            <w:noWrap w:val="0"/>
            <w:vAlign w:val="center"/>
          </w:tcPr>
          <w:p>
            <w:pPr>
              <w:spacing w:line="360" w:lineRule="auto"/>
              <w:jc w:val="center"/>
              <w:rPr>
                <w:rFonts w:ascii="宋体" w:eastAsia="宋体" w:hAnsi="宋体"/>
                <w:szCs w:val="21"/>
              </w:rPr>
            </w:pPr>
            <w:r>
              <w:rPr>
                <w:rFonts w:ascii="宋体" w:eastAsia="宋体" w:hAnsi="宋体"/>
                <w:szCs w:val="21"/>
              </w:rPr>
              <w:t>0.004%</w:t>
            </w:r>
          </w:p>
        </w:tc>
        <w:tc>
          <w:tcPr>
            <w:tcW w:w="2158" w:type="dxa"/>
            <w:noWrap w:val="0"/>
            <w:vAlign w:val="center"/>
          </w:tcPr>
          <w:p>
            <w:pPr>
              <w:snapToGrid w:val="0"/>
              <w:spacing w:line="360" w:lineRule="auto"/>
              <w:jc w:val="center"/>
              <w:rPr>
                <w:rFonts w:ascii="宋体" w:eastAsia="宋体" w:hAnsi="宋体"/>
                <w:bCs/>
                <w:szCs w:val="21"/>
              </w:rPr>
            </w:pPr>
            <w:r>
              <w:rPr>
                <w:rFonts w:ascii="宋体" w:eastAsia="宋体" w:hAnsi="宋体" w:hint="eastAsia"/>
                <w:bCs/>
                <w:szCs w:val="21"/>
              </w:rPr>
              <w:t>0.004%</w:t>
            </w:r>
          </w:p>
        </w:tc>
      </w:tr>
    </w:tbl>
    <w:p>
      <w:pPr>
        <w:spacing w:line="360" w:lineRule="auto"/>
        <w:ind w:firstLine="412" w:firstLineChars="196"/>
        <w:rPr>
          <w:rFonts w:ascii="宋体" w:eastAsia="宋体" w:hAnsi="宋体"/>
          <w:szCs w:val="21"/>
        </w:rPr>
      </w:pPr>
    </w:p>
    <w:p>
      <w:pPr>
        <w:keepNext/>
        <w:keepLines/>
        <w:widowControl/>
        <w:numPr>
          <w:ilvl w:val="0"/>
          <w:numId w:val="2"/>
        </w:numPr>
        <w:adjustRightInd w:val="0"/>
        <w:spacing w:before="156" w:beforeLines="50" w:after="156" w:afterLines="50" w:line="360" w:lineRule="auto"/>
        <w:ind w:left="562" w:hanging="562"/>
        <w:jc w:val="center"/>
        <w:textAlignment w:val="baseline"/>
        <w:outlineLvl w:val="1"/>
        <w:rPr>
          <w:rFonts w:ascii="宋体" w:eastAsia="宋体" w:hAnsi="宋体"/>
          <w:b/>
          <w:bCs/>
          <w:kern w:val="0"/>
          <w:sz w:val="28"/>
          <w:szCs w:val="28"/>
        </w:rPr>
      </w:pPr>
      <w:bookmarkEnd w:id="57"/>
      <w:r>
        <w:rPr>
          <w:rFonts w:ascii="宋体" w:eastAsia="宋体" w:hAnsi="宋体" w:hint="eastAsia"/>
          <w:b/>
          <w:bCs/>
          <w:kern w:val="0"/>
          <w:sz w:val="28"/>
          <w:szCs w:val="28"/>
        </w:rPr>
        <w:t>公开招标失败的后续处理</w:t>
      </w:r>
    </w:p>
    <w:p>
      <w:pPr>
        <w:spacing w:line="360" w:lineRule="auto"/>
        <w:rPr>
          <w:rFonts w:ascii="宋体" w:eastAsia="宋体" w:hAnsi="宋体"/>
          <w:b/>
          <w:bCs/>
          <w:szCs w:val="21"/>
        </w:rPr>
      </w:pPr>
      <w:r>
        <w:rPr>
          <w:rFonts w:ascii="宋体" w:eastAsia="宋体" w:hAnsi="宋体" w:hint="eastAsia"/>
          <w:b/>
          <w:bCs/>
          <w:szCs w:val="21"/>
        </w:rPr>
        <w:t>42．公开招标失败的处理</w:t>
      </w:r>
    </w:p>
    <w:p>
      <w:pPr>
        <w:spacing w:line="360" w:lineRule="auto"/>
        <w:ind w:firstLine="412" w:firstLineChars="196"/>
        <w:rPr>
          <w:rFonts w:ascii="宋体" w:eastAsia="宋体" w:hAnsi="宋体"/>
          <w:szCs w:val="21"/>
        </w:rPr>
      </w:pPr>
      <w:r>
        <w:rPr>
          <w:rFonts w:ascii="宋体" w:eastAsia="宋体" w:hAnsi="宋体" w:hint="eastAsia"/>
          <w:szCs w:val="21"/>
        </w:rPr>
        <w:t>42.1本项目公开招标过程中若由于投标截止后实际递交</w:t>
      </w:r>
      <w:r>
        <w:rPr>
          <w:rFonts w:ascii="宋体" w:eastAsia="宋体" w:hAnsi="宋体"/>
          <w:szCs w:val="21"/>
        </w:rPr>
        <w:t>投标</w:t>
      </w:r>
      <w:r>
        <w:rPr>
          <w:rFonts w:ascii="宋体" w:eastAsia="宋体" w:hAnsi="宋体" w:hint="eastAsia"/>
          <w:szCs w:val="21"/>
        </w:rPr>
        <w:t>文件的供应商数量不足、经评审委员会评审对招标文件作实质响应的供应商不足等原因造成公开招标失败，可由</w:t>
      </w:r>
      <w:r>
        <w:rPr>
          <w:rFonts w:ascii="宋体" w:eastAsia="宋体" w:hAnsi="宋体" w:cs="宋体" w:hint="eastAsia"/>
          <w:szCs w:val="21"/>
        </w:rPr>
        <w:t>采购代理机构</w:t>
      </w:r>
      <w:r>
        <w:rPr>
          <w:rFonts w:ascii="宋体" w:eastAsia="宋体" w:hAnsi="宋体" w:hint="eastAsia"/>
          <w:szCs w:val="21"/>
        </w:rPr>
        <w:t>重新组织采购。</w:t>
      </w:r>
    </w:p>
    <w:p>
      <w:pPr>
        <w:spacing w:line="360" w:lineRule="auto"/>
        <w:ind w:firstLine="412" w:firstLineChars="196"/>
        <w:rPr>
          <w:rFonts w:ascii="宋体" w:eastAsia="宋体" w:hAnsi="宋体"/>
          <w:szCs w:val="21"/>
        </w:rPr>
      </w:pPr>
      <w:r>
        <w:rPr>
          <w:rFonts w:ascii="宋体" w:eastAsia="宋体" w:hAnsi="宋体" w:hint="eastAsia"/>
          <w:szCs w:val="21"/>
        </w:rPr>
        <w:t>42.2对公开招标失败的项目，评审委员会在出具该项目招标失败结论的同时，可以提出重新采购组织形式的建议，以及进一步完善招标文件的资格、技术、商务要求的修改建议。</w:t>
      </w:r>
    </w:p>
    <w:p>
      <w:pPr>
        <w:spacing w:line="360" w:lineRule="auto"/>
        <w:ind w:firstLine="412" w:firstLineChars="196"/>
        <w:rPr>
          <w:rFonts w:ascii="宋体" w:eastAsia="宋体" w:hAnsi="宋体"/>
          <w:szCs w:val="21"/>
        </w:rPr>
      </w:pPr>
      <w:r>
        <w:rPr>
          <w:rFonts w:ascii="宋体" w:eastAsia="宋体" w:hAnsi="宋体" w:hint="eastAsia"/>
          <w:szCs w:val="21"/>
        </w:rPr>
        <w:t>42.3重新组织采购有以下两种组织形式：</w:t>
      </w:r>
    </w:p>
    <w:p>
      <w:pPr>
        <w:spacing w:line="360" w:lineRule="auto"/>
        <w:ind w:firstLine="412" w:firstLineChars="196"/>
        <w:rPr>
          <w:rFonts w:ascii="宋体" w:eastAsia="宋体" w:hAnsi="宋体"/>
          <w:szCs w:val="21"/>
        </w:rPr>
      </w:pPr>
      <w:r>
        <w:rPr>
          <w:rFonts w:ascii="宋体" w:eastAsia="宋体" w:hAnsi="宋体" w:hint="eastAsia"/>
          <w:szCs w:val="21"/>
        </w:rPr>
        <w:t>（1）由采购代理机构重新组织公开招标；</w:t>
      </w:r>
    </w:p>
    <w:p>
      <w:pPr>
        <w:spacing w:line="360" w:lineRule="auto"/>
        <w:ind w:firstLine="412" w:firstLineChars="196"/>
        <w:rPr>
          <w:rFonts w:ascii="宋体" w:eastAsia="宋体" w:hAnsi="宋体"/>
          <w:szCs w:val="21"/>
        </w:rPr>
      </w:pPr>
      <w:r>
        <w:rPr>
          <w:rFonts w:ascii="宋体" w:eastAsia="宋体" w:hAnsi="宋体" w:hint="eastAsia"/>
          <w:szCs w:val="21"/>
        </w:rPr>
        <w:t>（2）根据实际情况需要向同级财政部门提出非公开招标方式申请的，经同级财政部门批准，公开招标失败采购项目可转为竞争性谈判或单一来源谈判方式采购。</w:t>
      </w:r>
    </w:p>
    <w:p>
      <w:pPr>
        <w:spacing w:line="360" w:lineRule="auto"/>
        <w:ind w:firstLine="412" w:firstLineChars="196"/>
        <w:rPr>
          <w:rFonts w:ascii="宋体" w:eastAsia="宋体" w:hAnsi="宋体"/>
          <w:szCs w:val="21"/>
        </w:rPr>
      </w:pPr>
      <w:r>
        <w:rPr>
          <w:rFonts w:ascii="宋体" w:eastAsia="宋体" w:hAnsi="宋体" w:hint="eastAsia"/>
          <w:szCs w:val="21"/>
        </w:rPr>
        <w:t>42.4公开招标失败的采购项目重新组织公开招标，由采购代理机构重新按公开招标流程组织采购活动。</w:t>
      </w:r>
    </w:p>
    <w:p>
      <w:pPr>
        <w:spacing w:line="360" w:lineRule="auto"/>
        <w:rPr>
          <w:rFonts w:ascii="宋体" w:eastAsia="宋体" w:hAnsi="宋体"/>
          <w:szCs w:val="21"/>
        </w:rPr>
      </w:pPr>
      <w:r>
        <w:rPr>
          <w:rFonts w:ascii="宋体" w:eastAsia="宋体" w:hAnsi="宋体" w:hint="eastAsia"/>
          <w:szCs w:val="21"/>
        </w:rPr>
        <w:t>42.5公开招标失败的采购项目经同级财政部门批准转为竞争性谈判或单一来源谈判方式采购的，按规定要求组织政府采购工作。</w:t>
      </w:r>
    </w:p>
    <w:p>
      <w:pPr>
        <w:keepNext/>
        <w:keepLines/>
        <w:widowControl/>
        <w:numPr>
          <w:ilvl w:val="0"/>
          <w:numId w:val="2"/>
        </w:numPr>
        <w:adjustRightInd w:val="0"/>
        <w:spacing w:before="156" w:beforeLines="50" w:after="156" w:afterLines="50" w:line="360" w:lineRule="auto"/>
        <w:ind w:left="562" w:hanging="562"/>
        <w:jc w:val="center"/>
        <w:textAlignment w:val="baseline"/>
        <w:outlineLvl w:val="1"/>
        <w:rPr>
          <w:rFonts w:ascii="宋体" w:eastAsia="宋体" w:hAnsi="宋体"/>
          <w:b/>
          <w:bCs/>
          <w:kern w:val="0"/>
          <w:sz w:val="28"/>
          <w:szCs w:val="28"/>
        </w:rPr>
      </w:pPr>
      <w:bookmarkStart w:id="58" w:name="_Hlk72439043"/>
      <w:r>
        <w:rPr>
          <w:rFonts w:ascii="宋体" w:eastAsia="宋体" w:hAnsi="宋体" w:hint="eastAsia"/>
          <w:b/>
          <w:bCs/>
          <w:kern w:val="0"/>
          <w:sz w:val="28"/>
          <w:szCs w:val="28"/>
        </w:rPr>
        <w:t>合同的授予与备案</w:t>
      </w:r>
      <w:bookmarkEnd w:id="58"/>
    </w:p>
    <w:p>
      <w:pPr>
        <w:spacing w:line="360" w:lineRule="auto"/>
        <w:rPr>
          <w:rFonts w:ascii="宋体" w:eastAsia="宋体" w:hAnsi="宋体"/>
          <w:b/>
          <w:bCs/>
          <w:szCs w:val="21"/>
        </w:rPr>
      </w:pPr>
      <w:bookmarkStart w:id="59" w:name="_Toc100052408"/>
      <w:bookmarkStart w:id="60" w:name="_Toc73521674"/>
      <w:bookmarkStart w:id="61" w:name="_Toc73518157"/>
      <w:bookmarkStart w:id="62" w:name="_Toc73521586"/>
      <w:bookmarkStart w:id="63" w:name="_Toc73517679"/>
      <w:bookmarkStart w:id="64" w:name="_Hlk72439088"/>
      <w:r>
        <w:rPr>
          <w:rFonts w:ascii="宋体" w:eastAsia="宋体" w:hAnsi="宋体" w:hint="eastAsia"/>
          <w:b/>
          <w:bCs/>
          <w:szCs w:val="21"/>
        </w:rPr>
        <w:t>43．合同授予标准</w:t>
      </w:r>
      <w:bookmarkEnd w:id="59"/>
      <w:bookmarkEnd w:id="60"/>
      <w:bookmarkEnd w:id="61"/>
      <w:bookmarkEnd w:id="62"/>
      <w:bookmarkEnd w:id="63"/>
    </w:p>
    <w:p>
      <w:pPr>
        <w:spacing w:line="360" w:lineRule="auto"/>
        <w:ind w:firstLine="412" w:firstLineChars="196"/>
        <w:rPr>
          <w:rFonts w:ascii="宋体" w:eastAsia="宋体" w:hAnsi="宋体"/>
          <w:szCs w:val="21"/>
        </w:rPr>
      </w:pPr>
      <w:r>
        <w:rPr>
          <w:rFonts w:ascii="宋体" w:eastAsia="宋体" w:hAnsi="宋体" w:hint="eastAsia"/>
          <w:szCs w:val="21"/>
        </w:rPr>
        <w:t>本项目的合同将授予经本招标文件规定评审确定的中标供应商。</w:t>
      </w:r>
    </w:p>
    <w:p>
      <w:pPr>
        <w:spacing w:line="360" w:lineRule="auto"/>
        <w:rPr>
          <w:rFonts w:ascii="宋体" w:eastAsia="宋体" w:hAnsi="宋体"/>
          <w:b/>
          <w:bCs/>
          <w:szCs w:val="21"/>
        </w:rPr>
      </w:pPr>
      <w:bookmarkStart w:id="65" w:name="_Toc100052409"/>
      <w:bookmarkStart w:id="66" w:name="_Toc73521587"/>
      <w:bookmarkStart w:id="67" w:name="_Toc73518158"/>
      <w:bookmarkStart w:id="68" w:name="_Toc73521675"/>
      <w:bookmarkStart w:id="69" w:name="_Toc73517680"/>
      <w:r>
        <w:rPr>
          <w:rFonts w:ascii="宋体" w:eastAsia="宋体" w:hAnsi="宋体" w:hint="eastAsia"/>
          <w:b/>
          <w:bCs/>
          <w:szCs w:val="21"/>
        </w:rPr>
        <w:t>44．</w:t>
      </w:r>
      <w:bookmarkEnd w:id="65"/>
      <w:bookmarkEnd w:id="66"/>
      <w:bookmarkEnd w:id="67"/>
      <w:bookmarkEnd w:id="68"/>
      <w:bookmarkEnd w:id="69"/>
      <w:r>
        <w:rPr>
          <w:rFonts w:ascii="宋体" w:eastAsia="宋体" w:hAnsi="宋体" w:hint="eastAsia"/>
          <w:b/>
          <w:bCs/>
          <w:szCs w:val="21"/>
        </w:rPr>
        <w:t>接受和拒绝任何或所有投标的权力</w:t>
      </w:r>
    </w:p>
    <w:p>
      <w:pPr>
        <w:spacing w:line="360" w:lineRule="auto"/>
        <w:ind w:firstLine="412" w:firstLineChars="196"/>
        <w:rPr>
          <w:rFonts w:ascii="宋体" w:eastAsia="宋体" w:hAnsi="宋体"/>
          <w:szCs w:val="21"/>
        </w:rPr>
      </w:pPr>
      <w:r>
        <w:rPr>
          <w:rFonts w:ascii="宋体" w:eastAsia="宋体" w:hAnsi="宋体" w:hint="eastAsia"/>
          <w:szCs w:val="21"/>
        </w:rPr>
        <w:t>采购代理机构和采购人保留在投标之前任何时候接受或拒绝任何投标或所有投标，以及宣布招标无效的权力，对受影响的投标人不承担任何责任，也无义务向受影响的投标人解释采取这一行动的理由。</w:t>
      </w:r>
    </w:p>
    <w:p>
      <w:pPr>
        <w:spacing w:line="360" w:lineRule="auto"/>
        <w:rPr>
          <w:rFonts w:ascii="宋体" w:eastAsia="宋体" w:hAnsi="宋体"/>
          <w:b/>
          <w:bCs/>
          <w:szCs w:val="21"/>
        </w:rPr>
      </w:pPr>
      <w:bookmarkStart w:id="70" w:name="_Toc73517682"/>
      <w:bookmarkStart w:id="71" w:name="_Toc73521677"/>
      <w:bookmarkStart w:id="72" w:name="_Toc73518160"/>
      <w:bookmarkStart w:id="73" w:name="_Toc100052410"/>
      <w:bookmarkStart w:id="74" w:name="_Toc73521589"/>
      <w:r>
        <w:rPr>
          <w:rFonts w:ascii="宋体" w:eastAsia="宋体" w:hAnsi="宋体" w:hint="eastAsia"/>
          <w:b/>
          <w:bCs/>
          <w:szCs w:val="21"/>
        </w:rPr>
        <w:t>45．合同的签订</w:t>
      </w:r>
      <w:bookmarkEnd w:id="70"/>
      <w:bookmarkEnd w:id="71"/>
      <w:bookmarkEnd w:id="72"/>
      <w:bookmarkEnd w:id="73"/>
      <w:bookmarkEnd w:id="74"/>
    </w:p>
    <w:p>
      <w:pPr>
        <w:spacing w:line="360" w:lineRule="auto"/>
        <w:ind w:firstLine="412" w:firstLineChars="196"/>
        <w:rPr>
          <w:rFonts w:ascii="宋体" w:eastAsia="宋体" w:hAnsi="宋体"/>
          <w:szCs w:val="21"/>
        </w:rPr>
      </w:pPr>
      <w:r>
        <w:rPr>
          <w:rFonts w:ascii="宋体" w:eastAsia="宋体" w:hAnsi="宋体" w:hint="eastAsia"/>
          <w:szCs w:val="21"/>
        </w:rPr>
        <w:t>45.1中标人将于中标通知书发出之日起十个工作日内，按照采购文件（招标文件和投标文件等）内容与采购人签订政府采购合同；合同的实质性内容应当符合招标文件的规定；</w:t>
      </w:r>
    </w:p>
    <w:p>
      <w:pPr>
        <w:spacing w:line="360" w:lineRule="auto"/>
        <w:ind w:firstLine="412" w:firstLineChars="196"/>
        <w:rPr>
          <w:rFonts w:ascii="宋体" w:eastAsia="宋体" w:hAnsi="宋体"/>
          <w:szCs w:val="21"/>
        </w:rPr>
      </w:pPr>
      <w:r>
        <w:rPr>
          <w:rFonts w:ascii="宋体" w:eastAsia="宋体" w:hAnsi="宋体" w:hint="eastAsia"/>
          <w:szCs w:val="21"/>
        </w:rPr>
        <w:t>45.2中标人如不按本通用条款第45</w:t>
      </w:r>
      <w:r>
        <w:rPr>
          <w:rFonts w:ascii="宋体" w:eastAsia="宋体" w:hAnsi="宋体"/>
          <w:szCs w:val="21"/>
        </w:rPr>
        <w:t>.1</w:t>
      </w:r>
      <w:r>
        <w:rPr>
          <w:rFonts w:ascii="宋体" w:eastAsia="宋体" w:hAnsi="宋体" w:hint="eastAsia"/>
          <w:szCs w:val="21"/>
        </w:rPr>
        <w:t>款的规定与采购人签订合同，</w:t>
      </w:r>
      <w:r>
        <w:rPr>
          <w:rFonts w:ascii="宋体" w:eastAsia="宋体" w:hAnsi="宋体" w:cs="宋体"/>
          <w:szCs w:val="21"/>
        </w:rPr>
        <w:t>情节严重的，由</w:t>
      </w:r>
      <w:r>
        <w:rPr>
          <w:rFonts w:ascii="宋体" w:eastAsia="宋体" w:hAnsi="宋体" w:cs="宋体" w:hint="eastAsia"/>
          <w:szCs w:val="21"/>
        </w:rPr>
        <w:t>同级财政</w:t>
      </w:r>
      <w:r>
        <w:rPr>
          <w:rFonts w:ascii="宋体" w:eastAsia="宋体" w:hAnsi="宋体" w:cs="宋体"/>
          <w:szCs w:val="21"/>
        </w:rPr>
        <w:t>部门记入供应商诚信档案，予以通报</w:t>
      </w:r>
      <w:r>
        <w:rPr>
          <w:rFonts w:ascii="宋体" w:eastAsia="宋体" w:hAnsi="宋体" w:hint="eastAsia"/>
          <w:szCs w:val="21"/>
        </w:rPr>
        <w:t>；</w:t>
      </w:r>
    </w:p>
    <w:p>
      <w:pPr>
        <w:spacing w:line="360" w:lineRule="auto"/>
        <w:ind w:firstLine="412" w:firstLineChars="196"/>
        <w:rPr>
          <w:rFonts w:ascii="宋体" w:eastAsia="宋体" w:hAnsi="宋体"/>
          <w:szCs w:val="21"/>
        </w:rPr>
      </w:pPr>
      <w:r>
        <w:rPr>
          <w:rFonts w:ascii="宋体" w:eastAsia="宋体" w:hAnsi="宋体" w:hint="eastAsia"/>
          <w:szCs w:val="21"/>
        </w:rPr>
        <w:t>45.3中标人应当按照合同约定履行义务，完成中标项目，不得将中标项目转让（转包）给他人。</w:t>
      </w:r>
    </w:p>
    <w:p>
      <w:pPr>
        <w:spacing w:line="360" w:lineRule="auto"/>
        <w:rPr>
          <w:rFonts w:ascii="宋体" w:eastAsia="宋体" w:hAnsi="宋体"/>
          <w:b/>
          <w:bCs/>
          <w:szCs w:val="21"/>
        </w:rPr>
      </w:pPr>
      <w:bookmarkStart w:id="75" w:name="_Toc73521590"/>
      <w:bookmarkStart w:id="76" w:name="_Toc100052411"/>
      <w:bookmarkStart w:id="77" w:name="_Toc73518161"/>
      <w:bookmarkStart w:id="78" w:name="_Toc73521678"/>
      <w:bookmarkStart w:id="79" w:name="_Toc73517683"/>
      <w:r>
        <w:rPr>
          <w:rFonts w:ascii="宋体" w:eastAsia="宋体" w:hAnsi="宋体" w:hint="eastAsia"/>
          <w:b/>
          <w:bCs/>
          <w:szCs w:val="21"/>
        </w:rPr>
        <w:t>46．履约担保</w:t>
      </w:r>
      <w:bookmarkEnd w:id="75"/>
      <w:bookmarkEnd w:id="76"/>
      <w:bookmarkEnd w:id="77"/>
      <w:bookmarkEnd w:id="78"/>
      <w:bookmarkEnd w:id="79"/>
    </w:p>
    <w:p>
      <w:pPr>
        <w:spacing w:line="360" w:lineRule="auto"/>
        <w:ind w:firstLine="412" w:firstLineChars="196"/>
        <w:rPr>
          <w:rFonts w:ascii="宋体" w:eastAsia="宋体" w:hAnsi="宋体"/>
          <w:szCs w:val="21"/>
        </w:rPr>
      </w:pPr>
      <w:r>
        <w:rPr>
          <w:rFonts w:ascii="宋体" w:eastAsia="宋体" w:hAnsi="宋体" w:hint="eastAsia"/>
          <w:szCs w:val="21"/>
        </w:rPr>
        <w:t>46.1在签订项目合同的同时，中标人应按“对通用条款的补充内容”中规定的金额向采购人提交履约担保；</w:t>
      </w:r>
    </w:p>
    <w:p>
      <w:pPr>
        <w:spacing w:line="360" w:lineRule="auto"/>
        <w:ind w:firstLine="412" w:firstLineChars="196"/>
        <w:rPr>
          <w:rFonts w:ascii="宋体" w:eastAsia="宋体" w:hAnsi="宋体"/>
          <w:szCs w:val="21"/>
        </w:rPr>
      </w:pPr>
      <w:r>
        <w:rPr>
          <w:rFonts w:ascii="宋体" w:eastAsia="宋体" w:hAnsi="宋体" w:hint="eastAsia"/>
          <w:szCs w:val="21"/>
        </w:rPr>
        <w:t>46.2，允许供应商自主选择以支票、汇票、本票、保函等非现金方式提交履约担保；</w:t>
      </w:r>
      <w:r>
        <w:rPr>
          <w:rFonts w:ascii="宋体" w:eastAsia="宋体" w:hAnsi="宋体"/>
          <w:szCs w:val="21"/>
        </w:rPr>
        <w:t>中标</w:t>
      </w:r>
      <w:r>
        <w:rPr>
          <w:rFonts w:ascii="宋体" w:eastAsia="宋体" w:hAnsi="宋体" w:hint="eastAsia"/>
          <w:szCs w:val="21"/>
        </w:rPr>
        <w:t>人</w:t>
      </w:r>
      <w:r>
        <w:rPr>
          <w:rFonts w:ascii="宋体" w:eastAsia="宋体" w:hAnsi="宋体"/>
          <w:szCs w:val="21"/>
        </w:rPr>
        <w:t>提交履约</w:t>
      </w:r>
      <w:r>
        <w:rPr>
          <w:rFonts w:ascii="宋体" w:eastAsia="宋体" w:hAnsi="宋体" w:hint="eastAsia"/>
          <w:szCs w:val="21"/>
        </w:rPr>
        <w:t>担保不是</w:t>
      </w:r>
      <w:r>
        <w:rPr>
          <w:rFonts w:ascii="宋体" w:eastAsia="宋体" w:hAnsi="宋体"/>
          <w:szCs w:val="21"/>
        </w:rPr>
        <w:t>合同签订的</w:t>
      </w:r>
      <w:r>
        <w:rPr>
          <w:rFonts w:ascii="宋体" w:eastAsia="宋体" w:hAnsi="宋体" w:hint="eastAsia"/>
          <w:szCs w:val="21"/>
        </w:rPr>
        <w:t>前提</w:t>
      </w:r>
      <w:r>
        <w:rPr>
          <w:rFonts w:ascii="宋体" w:eastAsia="宋体" w:hAnsi="宋体"/>
          <w:szCs w:val="21"/>
        </w:rPr>
        <w:t>条件，不要求中标</w:t>
      </w:r>
      <w:r>
        <w:rPr>
          <w:rFonts w:ascii="宋体" w:eastAsia="宋体" w:hAnsi="宋体" w:hint="eastAsia"/>
          <w:szCs w:val="21"/>
        </w:rPr>
        <w:t>人</w:t>
      </w:r>
      <w:r>
        <w:rPr>
          <w:rFonts w:ascii="宋体" w:eastAsia="宋体" w:hAnsi="宋体"/>
          <w:szCs w:val="21"/>
        </w:rPr>
        <w:t>提供除法律、法规明确规定外的其他担保</w:t>
      </w:r>
      <w:r>
        <w:rPr>
          <w:rFonts w:ascii="宋体" w:eastAsia="宋体" w:hAnsi="宋体" w:hint="eastAsia"/>
          <w:szCs w:val="21"/>
        </w:rPr>
        <w:t>。</w:t>
      </w:r>
    </w:p>
    <w:p>
      <w:pPr>
        <w:spacing w:line="360" w:lineRule="auto"/>
        <w:rPr>
          <w:rFonts w:ascii="宋体" w:eastAsia="宋体" w:hAnsi="宋体"/>
          <w:b/>
          <w:bCs/>
          <w:szCs w:val="21"/>
        </w:rPr>
      </w:pPr>
      <w:r>
        <w:rPr>
          <w:rFonts w:ascii="宋体" w:eastAsia="宋体" w:hAnsi="宋体" w:hint="eastAsia"/>
          <w:b/>
          <w:bCs/>
          <w:szCs w:val="21"/>
        </w:rPr>
        <w:t>47. 合同备案</w:t>
      </w:r>
    </w:p>
    <w:p>
      <w:pPr>
        <w:spacing w:line="360" w:lineRule="auto"/>
        <w:ind w:firstLine="412" w:firstLineChars="196"/>
        <w:rPr>
          <w:rFonts w:ascii="宋体" w:eastAsia="宋体" w:hAnsi="宋体"/>
          <w:szCs w:val="21"/>
        </w:rPr>
      </w:pPr>
      <w:r>
        <w:rPr>
          <w:rFonts w:ascii="宋体" w:eastAsia="宋体" w:hAnsi="宋体" w:hint="eastAsia"/>
          <w:szCs w:val="21"/>
        </w:rPr>
        <w:t>采购人与中标人应于合同签订之日起十日内，由采购人或委托中标人将采购合同副本抄送合同备案工作实施机构备案。</w:t>
      </w:r>
    </w:p>
    <w:p>
      <w:pPr>
        <w:spacing w:line="360" w:lineRule="auto"/>
        <w:rPr>
          <w:rFonts w:ascii="宋体" w:eastAsia="宋体" w:hAnsi="宋体"/>
          <w:b/>
          <w:bCs/>
          <w:szCs w:val="21"/>
        </w:rPr>
      </w:pPr>
      <w:r>
        <w:rPr>
          <w:rFonts w:ascii="宋体" w:eastAsia="宋体" w:hAnsi="宋体" w:hint="eastAsia"/>
          <w:b/>
          <w:bCs/>
          <w:szCs w:val="21"/>
        </w:rPr>
        <w:t>48. 合同变更</w:t>
      </w:r>
    </w:p>
    <w:p>
      <w:pPr>
        <w:spacing w:line="360" w:lineRule="auto"/>
        <w:ind w:firstLine="412" w:firstLineChars="196"/>
        <w:rPr>
          <w:rFonts w:ascii="宋体" w:eastAsia="宋体" w:hAnsi="宋体"/>
          <w:szCs w:val="21"/>
        </w:rPr>
      </w:pPr>
      <w:r>
        <w:rPr>
          <w:rFonts w:ascii="宋体" w:eastAsia="宋体" w:hAnsi="宋体" w:hint="eastAsia"/>
          <w:szCs w:val="21"/>
        </w:rPr>
        <w:t>合同变更事宜按《深圳市财政局 深圳市政府采购中心关于进一步加强市本级政府采购合同备案管理工作的通知》（深财购〔2019〕43号）相关规定执行。</w:t>
      </w:r>
    </w:p>
    <w:p>
      <w:pPr>
        <w:spacing w:line="360" w:lineRule="auto"/>
        <w:rPr>
          <w:rFonts w:ascii="宋体" w:eastAsia="宋体" w:hAnsi="宋体"/>
          <w:b/>
          <w:bCs/>
          <w:szCs w:val="21"/>
        </w:rPr>
      </w:pPr>
      <w:r>
        <w:rPr>
          <w:rFonts w:ascii="宋体" w:eastAsia="宋体" w:hAnsi="宋体" w:hint="eastAsia"/>
          <w:b/>
          <w:bCs/>
          <w:szCs w:val="21"/>
        </w:rPr>
        <w:t>49. 项目验收</w:t>
      </w:r>
    </w:p>
    <w:p>
      <w:pPr>
        <w:spacing w:line="360" w:lineRule="auto"/>
        <w:ind w:right="176" w:firstLine="420"/>
        <w:rPr>
          <w:rFonts w:ascii="宋体" w:eastAsia="宋体" w:hAnsi="宋体"/>
          <w:szCs w:val="21"/>
        </w:rPr>
      </w:pPr>
      <w:r>
        <w:rPr>
          <w:rFonts w:ascii="宋体" w:eastAsia="宋体" w:hAnsi="宋体" w:hint="eastAsia"/>
          <w:szCs w:val="21"/>
        </w:rPr>
        <w:t>49.1采购人应当按照招标文件和合同规定的标准和方法，及时组织验收。</w:t>
      </w:r>
    </w:p>
    <w:p>
      <w:pPr>
        <w:spacing w:line="360" w:lineRule="auto"/>
        <w:rPr>
          <w:rFonts w:ascii="宋体" w:eastAsia="宋体" w:hAnsi="宋体"/>
          <w:b/>
          <w:bCs/>
          <w:szCs w:val="21"/>
        </w:rPr>
      </w:pPr>
      <w:r>
        <w:rPr>
          <w:rFonts w:ascii="宋体" w:eastAsia="宋体" w:hAnsi="宋体" w:hint="eastAsia"/>
          <w:b/>
          <w:bCs/>
          <w:szCs w:val="21"/>
        </w:rPr>
        <w:t>50. 宣传</w:t>
      </w:r>
    </w:p>
    <w:p>
      <w:pPr>
        <w:spacing w:line="360" w:lineRule="auto"/>
        <w:ind w:left="210" w:firstLine="412" w:leftChars="100" w:firstLineChars="196"/>
        <w:rPr>
          <w:rFonts w:ascii="宋体" w:eastAsia="宋体" w:hAnsi="宋体"/>
          <w:szCs w:val="21"/>
        </w:rPr>
      </w:pPr>
      <w:r>
        <w:rPr>
          <w:rFonts w:ascii="宋体" w:eastAsia="宋体" w:hAnsi="宋体" w:hint="eastAsia"/>
          <w:szCs w:val="21"/>
        </w:rPr>
        <w:t>凡与政府采购活动有关的宣传或广告，若当中提及政府采购，</w:t>
      </w:r>
      <w:r>
        <w:rPr>
          <w:rFonts w:ascii="宋体" w:eastAsia="宋体" w:hAnsi="宋体"/>
          <w:szCs w:val="21"/>
        </w:rPr>
        <w:t>必须事先将具体对外宣传方案报</w:t>
      </w:r>
      <w:r>
        <w:rPr>
          <w:rFonts w:ascii="宋体" w:eastAsia="宋体" w:hAnsi="宋体" w:hint="eastAsia"/>
          <w:szCs w:val="21"/>
        </w:rPr>
        <w:t>同级财政部门</w:t>
      </w:r>
      <w:r>
        <w:rPr>
          <w:rFonts w:ascii="宋体" w:eastAsia="宋体" w:hAnsi="宋体"/>
          <w:szCs w:val="21"/>
        </w:rPr>
        <w:t>和</w:t>
      </w:r>
      <w:r>
        <w:rPr>
          <w:rFonts w:ascii="宋体" w:eastAsia="宋体" w:hAnsi="宋体" w:hint="eastAsia"/>
          <w:szCs w:val="21"/>
        </w:rPr>
        <w:t>采购代理机构</w:t>
      </w:r>
      <w:r>
        <w:rPr>
          <w:rFonts w:ascii="宋体" w:eastAsia="宋体" w:hAnsi="宋体"/>
          <w:szCs w:val="21"/>
        </w:rPr>
        <w:t>，并征得其同意。对外市场宣传包括但不限于以下形式：</w:t>
      </w:r>
    </w:p>
    <w:p>
      <w:pPr>
        <w:spacing w:line="360" w:lineRule="auto"/>
        <w:ind w:left="210" w:firstLine="412" w:leftChars="100" w:firstLineChars="196"/>
        <w:rPr>
          <w:rFonts w:ascii="宋体" w:eastAsia="宋体" w:hAnsi="宋体"/>
          <w:szCs w:val="21"/>
        </w:rPr>
      </w:pPr>
      <w:r>
        <w:rPr>
          <w:rFonts w:ascii="宋体" w:eastAsia="宋体" w:hAnsi="宋体"/>
          <w:szCs w:val="21"/>
        </w:rPr>
        <w:t>a.名片、宣传册、广告标语等；</w:t>
      </w:r>
    </w:p>
    <w:p>
      <w:pPr>
        <w:spacing w:line="360" w:lineRule="auto"/>
        <w:ind w:left="210" w:firstLine="412" w:leftChars="100" w:firstLineChars="196"/>
        <w:rPr>
          <w:rFonts w:ascii="宋体" w:eastAsia="宋体" w:hAnsi="宋体"/>
          <w:szCs w:val="21"/>
        </w:rPr>
      </w:pPr>
      <w:r>
        <w:rPr>
          <w:rFonts w:ascii="宋体" w:eastAsia="宋体" w:hAnsi="宋体"/>
          <w:szCs w:val="21"/>
        </w:rPr>
        <w:t>b.案例介绍、推广等；</w:t>
      </w:r>
    </w:p>
    <w:p>
      <w:pPr>
        <w:spacing w:line="360" w:lineRule="auto"/>
        <w:ind w:left="210" w:firstLine="412" w:leftChars="100" w:firstLineChars="196"/>
        <w:rPr>
          <w:rFonts w:ascii="宋体" w:eastAsia="宋体" w:hAnsi="宋体"/>
          <w:szCs w:val="21"/>
        </w:rPr>
      </w:pPr>
      <w:r>
        <w:rPr>
          <w:rFonts w:ascii="宋体" w:eastAsia="宋体" w:hAnsi="宋体" w:hint="eastAsia"/>
          <w:szCs w:val="21"/>
        </w:rPr>
        <w:t>c.工作</w:t>
      </w:r>
      <w:r>
        <w:rPr>
          <w:rFonts w:ascii="宋体" w:eastAsia="宋体" w:hAnsi="宋体"/>
          <w:szCs w:val="21"/>
        </w:rPr>
        <w:t>人员向其他消费群体宣传。</w:t>
      </w:r>
    </w:p>
    <w:p>
      <w:pPr>
        <w:spacing w:line="360" w:lineRule="auto"/>
        <w:rPr>
          <w:rFonts w:ascii="宋体" w:eastAsia="宋体" w:hAnsi="宋体"/>
          <w:b/>
          <w:bCs/>
          <w:szCs w:val="21"/>
        </w:rPr>
      </w:pPr>
      <w:r>
        <w:rPr>
          <w:rFonts w:ascii="宋体" w:eastAsia="宋体" w:hAnsi="宋体" w:hint="eastAsia"/>
          <w:b/>
          <w:bCs/>
          <w:szCs w:val="21"/>
        </w:rPr>
        <w:t>51. 供应商违法责任</w:t>
      </w:r>
    </w:p>
    <w:p>
      <w:pPr>
        <w:spacing w:line="360" w:lineRule="auto"/>
        <w:ind w:firstLine="412" w:firstLineChars="196"/>
        <w:rPr>
          <w:rFonts w:ascii="宋体" w:eastAsia="宋体" w:hAnsi="宋体"/>
          <w:szCs w:val="21"/>
        </w:rPr>
      </w:pPr>
      <w:r>
        <w:rPr>
          <w:rFonts w:ascii="宋体" w:eastAsia="宋体" w:hAnsi="宋体" w:hint="eastAsia"/>
          <w:szCs w:val="21"/>
        </w:rPr>
        <w:t>5</w:t>
      </w:r>
      <w:r>
        <w:rPr>
          <w:rFonts w:ascii="宋体" w:eastAsia="宋体" w:hAnsi="宋体"/>
          <w:szCs w:val="21"/>
        </w:rPr>
        <w:t>1.1</w:t>
      </w:r>
      <w:r>
        <w:rPr>
          <w:rFonts w:ascii="宋体" w:eastAsia="宋体" w:hAnsi="宋体" w:hint="eastAsia"/>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pacing w:line="360" w:lineRule="auto"/>
        <w:ind w:firstLine="412" w:firstLineChars="196"/>
        <w:rPr>
          <w:rFonts w:ascii="宋体" w:eastAsia="宋体" w:hAnsi="宋体"/>
          <w:szCs w:val="21"/>
        </w:rPr>
      </w:pPr>
      <w:r>
        <w:rPr>
          <w:rFonts w:ascii="宋体" w:eastAsia="宋体" w:hAnsi="宋体" w:hint="eastAsia"/>
          <w:szCs w:val="21"/>
        </w:rPr>
        <w:t>（1）在采购活动中应当回避而未回避的；</w:t>
      </w:r>
    </w:p>
    <w:p>
      <w:pPr>
        <w:spacing w:line="360" w:lineRule="auto"/>
        <w:ind w:firstLine="412" w:firstLineChars="196"/>
        <w:rPr>
          <w:rFonts w:ascii="宋体" w:eastAsia="宋体" w:hAnsi="宋体"/>
          <w:szCs w:val="21"/>
        </w:rPr>
      </w:pPr>
      <w:r>
        <w:rPr>
          <w:rFonts w:ascii="宋体" w:eastAsia="宋体" w:hAnsi="宋体" w:hint="eastAsia"/>
          <w:szCs w:val="21"/>
        </w:rPr>
        <w:t>（2）未按本条例规定签订、履行采购合同，造成严重后果的；</w:t>
      </w:r>
    </w:p>
    <w:p>
      <w:pPr>
        <w:spacing w:line="360" w:lineRule="auto"/>
        <w:ind w:firstLine="412" w:firstLineChars="196"/>
        <w:rPr>
          <w:rFonts w:ascii="宋体" w:eastAsia="宋体" w:hAnsi="宋体"/>
          <w:szCs w:val="21"/>
        </w:rPr>
      </w:pPr>
      <w:r>
        <w:rPr>
          <w:rFonts w:ascii="宋体" w:eastAsia="宋体" w:hAnsi="宋体" w:hint="eastAsia"/>
          <w:szCs w:val="21"/>
        </w:rPr>
        <w:t>（3）隐瞒真实情况，提供虚假资料的；</w:t>
      </w:r>
    </w:p>
    <w:p>
      <w:pPr>
        <w:spacing w:line="360" w:lineRule="auto"/>
        <w:ind w:firstLine="412" w:firstLineChars="196"/>
        <w:rPr>
          <w:rFonts w:ascii="宋体" w:eastAsia="宋体" w:hAnsi="宋体"/>
          <w:szCs w:val="21"/>
        </w:rPr>
      </w:pPr>
      <w:r>
        <w:rPr>
          <w:rFonts w:ascii="宋体" w:eastAsia="宋体" w:hAnsi="宋体" w:hint="eastAsia"/>
          <w:szCs w:val="21"/>
        </w:rPr>
        <w:t>（4）以非法手段排斥其他供应商参与竞争的；</w:t>
      </w:r>
    </w:p>
    <w:p>
      <w:pPr>
        <w:spacing w:line="360" w:lineRule="auto"/>
        <w:ind w:firstLine="412" w:firstLineChars="196"/>
        <w:rPr>
          <w:rFonts w:ascii="宋体" w:eastAsia="宋体" w:hAnsi="宋体"/>
          <w:szCs w:val="21"/>
        </w:rPr>
      </w:pPr>
      <w:r>
        <w:rPr>
          <w:rFonts w:ascii="宋体" w:eastAsia="宋体" w:hAnsi="宋体" w:hint="eastAsia"/>
          <w:szCs w:val="21"/>
        </w:rPr>
        <w:t>（5）与其他采购参加人串通投标的；</w:t>
      </w:r>
    </w:p>
    <w:p>
      <w:pPr>
        <w:spacing w:line="360" w:lineRule="auto"/>
        <w:ind w:firstLine="412" w:firstLineChars="196"/>
        <w:rPr>
          <w:rFonts w:ascii="宋体" w:eastAsia="宋体" w:hAnsi="宋体"/>
          <w:szCs w:val="21"/>
        </w:rPr>
      </w:pPr>
      <w:r>
        <w:rPr>
          <w:rFonts w:ascii="宋体" w:eastAsia="宋体" w:hAnsi="宋体" w:hint="eastAsia"/>
          <w:szCs w:val="21"/>
        </w:rPr>
        <w:t>（6）恶意投诉的；</w:t>
      </w:r>
    </w:p>
    <w:p>
      <w:pPr>
        <w:spacing w:line="360" w:lineRule="auto"/>
        <w:ind w:firstLine="412" w:firstLineChars="196"/>
        <w:rPr>
          <w:rFonts w:ascii="宋体" w:eastAsia="宋体" w:hAnsi="宋体"/>
          <w:szCs w:val="21"/>
        </w:rPr>
      </w:pPr>
      <w:r>
        <w:rPr>
          <w:rFonts w:ascii="宋体" w:eastAsia="宋体" w:hAnsi="宋体" w:hint="eastAsia"/>
          <w:szCs w:val="21"/>
        </w:rPr>
        <w:t>（7）向采购项目相关人行贿或者提供其他不当利益的；</w:t>
      </w:r>
    </w:p>
    <w:p>
      <w:pPr>
        <w:spacing w:line="360" w:lineRule="auto"/>
        <w:ind w:firstLine="412" w:firstLineChars="196"/>
        <w:rPr>
          <w:rFonts w:ascii="宋体" w:eastAsia="宋体" w:hAnsi="宋体"/>
          <w:szCs w:val="21"/>
        </w:rPr>
      </w:pPr>
      <w:r>
        <w:rPr>
          <w:rFonts w:ascii="宋体" w:eastAsia="宋体" w:hAnsi="宋体" w:hint="eastAsia"/>
          <w:szCs w:val="21"/>
        </w:rPr>
        <w:t>（8）阻碍、抗拒主管部门监督检查的；</w:t>
      </w:r>
    </w:p>
    <w:p>
      <w:pPr>
        <w:spacing w:line="360" w:lineRule="auto"/>
        <w:ind w:firstLine="412" w:firstLineChars="196"/>
        <w:rPr>
          <w:rFonts w:ascii="宋体" w:eastAsia="宋体" w:hAnsi="宋体"/>
          <w:szCs w:val="21"/>
        </w:rPr>
      </w:pPr>
      <w:r>
        <w:rPr>
          <w:rFonts w:ascii="宋体" w:eastAsia="宋体" w:hAnsi="宋体" w:hint="eastAsia"/>
          <w:szCs w:val="21"/>
        </w:rPr>
        <w:t>（9）其他违反本条例规定的行为。</w:t>
      </w:r>
    </w:p>
    <w:p>
      <w:pPr>
        <w:spacing w:line="360" w:lineRule="auto"/>
        <w:ind w:firstLine="412" w:firstLineChars="196"/>
        <w:rPr>
          <w:rFonts w:ascii="宋体" w:eastAsia="宋体" w:hAnsi="宋体"/>
          <w:szCs w:val="21"/>
        </w:rPr>
      </w:pPr>
      <w:r>
        <w:rPr>
          <w:rFonts w:ascii="宋体" w:eastAsia="宋体" w:hAnsi="宋体" w:hint="eastAsia"/>
          <w:szCs w:val="21"/>
        </w:rPr>
        <w:t>5</w:t>
      </w:r>
      <w:r>
        <w:rPr>
          <w:rFonts w:ascii="宋体" w:eastAsia="宋体" w:hAnsi="宋体"/>
          <w:szCs w:val="21"/>
        </w:rPr>
        <w:t xml:space="preserve">1.2 </w:t>
      </w:r>
      <w:r>
        <w:rPr>
          <w:rFonts w:ascii="宋体" w:eastAsia="宋体" w:hAnsi="宋体" w:hint="eastAsia"/>
          <w:szCs w:val="21"/>
        </w:rPr>
        <w:t>根据《深圳市财政局关于明确政府采购保证金管理工作的通知》（深财购[2019]42号）的要求，供应商在政府采购活动中出现《深圳经济特区政府采购条例实施细则》第八十四条所列情形的，</w:t>
      </w:r>
      <w:bookmarkStart w:id="80" w:name="_Hlk72440769"/>
      <w:r>
        <w:rPr>
          <w:rFonts w:ascii="宋体" w:eastAsia="宋体" w:hAnsi="宋体" w:hint="eastAsia"/>
          <w:szCs w:val="21"/>
        </w:rPr>
        <w:t>采购人或采购代理机构</w:t>
      </w:r>
      <w:bookmarkEnd w:id="80"/>
      <w:r>
        <w:rPr>
          <w:rFonts w:ascii="宋体" w:eastAsia="宋体" w:hAnsi="宋体" w:hint="eastAsia"/>
          <w:szCs w:val="21"/>
        </w:rPr>
        <w:t>可将有关情况报同级财政部门，由财政部门根据实际情况记入供应商诚信档案，予以通报：</w:t>
      </w:r>
    </w:p>
    <w:p>
      <w:pPr>
        <w:spacing w:line="360" w:lineRule="auto"/>
        <w:ind w:firstLine="412" w:firstLineChars="196"/>
        <w:rPr>
          <w:rFonts w:ascii="宋体" w:eastAsia="宋体" w:hAnsi="宋体"/>
          <w:szCs w:val="21"/>
        </w:rPr>
      </w:pPr>
      <w:r>
        <w:rPr>
          <w:rFonts w:ascii="宋体" w:eastAsia="宋体" w:hAnsi="宋体" w:hint="eastAsia"/>
          <w:szCs w:val="21"/>
        </w:rPr>
        <w:t>（1</w:t>
      </w:r>
      <w:r>
        <w:rPr>
          <w:rFonts w:ascii="宋体" w:eastAsia="宋体" w:hAnsi="宋体"/>
          <w:szCs w:val="21"/>
        </w:rPr>
        <w:t>）投标截止后，撤销投标的；</w:t>
      </w:r>
    </w:p>
    <w:p>
      <w:pPr>
        <w:spacing w:line="360" w:lineRule="auto"/>
        <w:ind w:firstLine="412" w:firstLineChars="196"/>
        <w:rPr>
          <w:rFonts w:ascii="宋体" w:eastAsia="宋体" w:hAnsi="宋体"/>
          <w:szCs w:val="21"/>
        </w:rPr>
      </w:pPr>
      <w:r>
        <w:rPr>
          <w:rFonts w:ascii="宋体" w:eastAsia="宋体" w:hAnsi="宋体"/>
          <w:szCs w:val="21"/>
        </w:rPr>
        <w:t>（</w:t>
      </w:r>
      <w:r>
        <w:rPr>
          <w:rFonts w:ascii="宋体" w:eastAsia="宋体" w:hAnsi="宋体" w:hint="eastAsia"/>
          <w:szCs w:val="21"/>
        </w:rPr>
        <w:t>2</w:t>
      </w:r>
      <w:r>
        <w:rPr>
          <w:rFonts w:ascii="宋体" w:eastAsia="宋体" w:hAnsi="宋体"/>
          <w:szCs w:val="21"/>
        </w:rPr>
        <w:t>）中标后无正当理由未在规定期限内签订合同的；</w:t>
      </w:r>
    </w:p>
    <w:p>
      <w:pPr>
        <w:spacing w:line="360" w:lineRule="auto"/>
        <w:ind w:firstLine="412" w:firstLineChars="196"/>
        <w:rPr>
          <w:rFonts w:ascii="宋体" w:eastAsia="宋体" w:hAnsi="宋体"/>
          <w:szCs w:val="21"/>
        </w:rPr>
      </w:pPr>
      <w:r>
        <w:rPr>
          <w:rFonts w:ascii="宋体" w:eastAsia="宋体" w:hAnsi="宋体"/>
          <w:szCs w:val="21"/>
        </w:rPr>
        <w:t>（</w:t>
      </w:r>
      <w:r>
        <w:rPr>
          <w:rFonts w:ascii="宋体" w:eastAsia="宋体" w:hAnsi="宋体" w:hint="eastAsia"/>
          <w:szCs w:val="21"/>
        </w:rPr>
        <w:t>3</w:t>
      </w:r>
      <w:r>
        <w:rPr>
          <w:rFonts w:ascii="宋体" w:eastAsia="宋体" w:hAnsi="宋体"/>
          <w:szCs w:val="21"/>
        </w:rPr>
        <w:t>）将中标项目转让给他人、或者在投标文件中未说明且未经采购人、采购招标机构同意，将中标项目分包给他人的；</w:t>
      </w:r>
    </w:p>
    <w:p>
      <w:pPr>
        <w:spacing w:line="360" w:lineRule="auto"/>
        <w:ind w:firstLine="412" w:firstLineChars="196"/>
        <w:rPr>
          <w:rFonts w:ascii="宋体" w:eastAsia="宋体" w:hAnsi="宋体"/>
          <w:szCs w:val="21"/>
        </w:rPr>
      </w:pPr>
      <w:r>
        <w:rPr>
          <w:rFonts w:ascii="宋体" w:eastAsia="宋体" w:hAnsi="宋体"/>
          <w:szCs w:val="21"/>
        </w:rPr>
        <w:t>（</w:t>
      </w:r>
      <w:r>
        <w:rPr>
          <w:rFonts w:ascii="宋体" w:eastAsia="宋体" w:hAnsi="宋体" w:hint="eastAsia"/>
          <w:szCs w:val="21"/>
        </w:rPr>
        <w:t>4</w:t>
      </w:r>
      <w:r>
        <w:rPr>
          <w:rFonts w:ascii="宋体" w:eastAsia="宋体" w:hAnsi="宋体"/>
          <w:szCs w:val="21"/>
        </w:rPr>
        <w:t>）拒绝履行合同义务的</w:t>
      </w:r>
      <w:r>
        <w:rPr>
          <w:rFonts w:ascii="宋体" w:eastAsia="宋体" w:hAnsi="宋体" w:hint="eastAsia"/>
          <w:szCs w:val="21"/>
        </w:rPr>
        <w:t>。</w:t>
      </w:r>
    </w:p>
    <w:p>
      <w:pPr>
        <w:keepNext/>
        <w:keepLines/>
        <w:widowControl/>
        <w:numPr>
          <w:ilvl w:val="0"/>
          <w:numId w:val="2"/>
        </w:numPr>
        <w:adjustRightInd w:val="0"/>
        <w:spacing w:before="156" w:beforeLines="50" w:after="156" w:afterLines="50" w:line="360" w:lineRule="auto"/>
        <w:ind w:left="562" w:hanging="562"/>
        <w:jc w:val="center"/>
        <w:textAlignment w:val="baseline"/>
        <w:outlineLvl w:val="1"/>
        <w:rPr>
          <w:rFonts w:ascii="宋体" w:eastAsia="宋体" w:hAnsi="宋体"/>
          <w:b/>
          <w:bCs/>
          <w:kern w:val="0"/>
          <w:sz w:val="28"/>
          <w:szCs w:val="28"/>
        </w:rPr>
      </w:pPr>
      <w:bookmarkEnd w:id="64"/>
      <w:r>
        <w:rPr>
          <w:rFonts w:ascii="宋体" w:eastAsia="宋体" w:hAnsi="宋体" w:hint="eastAsia"/>
          <w:b/>
          <w:bCs/>
          <w:kern w:val="0"/>
          <w:sz w:val="28"/>
          <w:szCs w:val="28"/>
        </w:rPr>
        <w:t>质疑处理</w:t>
      </w:r>
    </w:p>
    <w:p>
      <w:pPr>
        <w:spacing w:line="360" w:lineRule="auto"/>
        <w:rPr>
          <w:rFonts w:ascii="宋体" w:eastAsia="宋体" w:hAnsi="宋体"/>
          <w:b/>
          <w:bCs/>
          <w:szCs w:val="21"/>
        </w:rPr>
      </w:pPr>
      <w:bookmarkStart w:id="81" w:name="_Hlk72439706"/>
      <w:r>
        <w:rPr>
          <w:rFonts w:ascii="宋体" w:eastAsia="宋体" w:hAnsi="宋体" w:hint="eastAsia"/>
          <w:b/>
          <w:bCs/>
          <w:szCs w:val="21"/>
        </w:rPr>
        <w:t>52.质疑提出与答复</w:t>
      </w:r>
    </w:p>
    <w:p>
      <w:pPr>
        <w:spacing w:line="360" w:lineRule="auto"/>
        <w:rPr>
          <w:rFonts w:ascii="宋体" w:eastAsia="宋体" w:hAnsi="宋体"/>
          <w:szCs w:val="21"/>
        </w:rPr>
      </w:pPr>
      <w:r>
        <w:rPr>
          <w:rFonts w:ascii="宋体" w:eastAsia="宋体" w:hAnsi="宋体" w:hint="eastAsia"/>
          <w:szCs w:val="21"/>
        </w:rPr>
        <w:t xml:space="preserve">    52.1提出质疑</w:t>
      </w:r>
    </w:p>
    <w:p>
      <w:pPr>
        <w:spacing w:line="360" w:lineRule="auto"/>
        <w:rPr>
          <w:rFonts w:ascii="宋体" w:eastAsia="宋体" w:hAnsi="宋体"/>
          <w:szCs w:val="21"/>
        </w:rPr>
      </w:pPr>
      <w:r>
        <w:rPr>
          <w:rFonts w:ascii="宋体" w:eastAsia="宋体" w:hAnsi="宋体" w:hint="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pPr>
        <w:spacing w:line="360" w:lineRule="auto"/>
        <w:rPr>
          <w:rFonts w:ascii="宋体" w:eastAsia="宋体" w:hAnsi="宋体"/>
          <w:szCs w:val="21"/>
        </w:rPr>
      </w:pPr>
      <w:r>
        <w:rPr>
          <w:rFonts w:ascii="宋体" w:eastAsia="宋体" w:hAnsi="宋体" w:hint="eastAsia"/>
          <w:szCs w:val="21"/>
        </w:rPr>
        <w:t xml:space="preserve">    52.2</w:t>
      </w:r>
      <w:r>
        <w:rPr>
          <w:rFonts w:ascii="宋体" w:eastAsia="宋体" w:hAnsi="宋体"/>
          <w:szCs w:val="21"/>
        </w:rPr>
        <w:t>法律依据</w:t>
      </w:r>
    </w:p>
    <w:p>
      <w:pPr>
        <w:spacing w:line="360" w:lineRule="auto"/>
        <w:rPr>
          <w:rFonts w:ascii="宋体" w:eastAsia="宋体" w:hAnsi="宋体"/>
          <w:szCs w:val="21"/>
        </w:rPr>
      </w:pPr>
      <w:r>
        <w:rPr>
          <w:rFonts w:ascii="宋体" w:eastAsia="宋体" w:hAnsi="宋体" w:hint="eastAsia"/>
          <w:szCs w:val="21"/>
        </w:rPr>
        <w:t xml:space="preserve">    《中华人民共和国政府采购法》、《中华人民共和国政府采购法实施条例》、</w:t>
      </w:r>
      <w:r>
        <w:rPr>
          <w:rFonts w:ascii="宋体" w:eastAsia="宋体" w:hAnsi="宋体"/>
          <w:szCs w:val="21"/>
        </w:rPr>
        <w:t>《</w:t>
      </w:r>
      <w:r>
        <w:rPr>
          <w:rFonts w:ascii="宋体" w:eastAsia="宋体" w:hAnsi="宋体" w:hint="eastAsia"/>
          <w:szCs w:val="21"/>
        </w:rPr>
        <w:t>深圳经济特区政府采购</w:t>
      </w:r>
      <w:r>
        <w:rPr>
          <w:rFonts w:ascii="宋体" w:eastAsia="宋体" w:hAnsi="宋体"/>
          <w:szCs w:val="21"/>
        </w:rPr>
        <w:t>条例</w:t>
      </w:r>
      <w:r>
        <w:rPr>
          <w:rFonts w:ascii="宋体" w:eastAsia="宋体" w:hAnsi="宋体" w:hint="eastAsia"/>
          <w:szCs w:val="21"/>
        </w:rPr>
        <w:t>》、《深圳经济特区政府采购条例实施细则》、《政府采购质疑和投诉办法》（财政部令第94号）和其他有关法律法规规定。</w:t>
      </w:r>
    </w:p>
    <w:p>
      <w:pPr>
        <w:spacing w:line="360" w:lineRule="auto"/>
        <w:rPr>
          <w:rFonts w:ascii="宋体" w:eastAsia="宋体" w:hAnsi="宋体"/>
          <w:szCs w:val="21"/>
        </w:rPr>
      </w:pPr>
      <w:r>
        <w:rPr>
          <w:rFonts w:ascii="宋体" w:eastAsia="宋体" w:hAnsi="宋体" w:hint="eastAsia"/>
          <w:szCs w:val="21"/>
        </w:rPr>
        <w:t>52.3质疑条件</w:t>
      </w:r>
    </w:p>
    <w:p>
      <w:pPr>
        <w:spacing w:line="360" w:lineRule="auto"/>
        <w:rPr>
          <w:rFonts w:ascii="宋体" w:eastAsia="宋体" w:hAnsi="宋体"/>
          <w:szCs w:val="21"/>
        </w:rPr>
      </w:pPr>
      <w:r>
        <w:rPr>
          <w:rFonts w:ascii="宋体" w:eastAsia="宋体" w:hAnsi="宋体" w:hint="eastAsia"/>
          <w:szCs w:val="21"/>
        </w:rPr>
        <w:t xml:space="preserve">    52.3.1提出质疑的供应商应当是参与所质疑项目采购活动的供应商；</w:t>
      </w:r>
      <w:bookmarkStart w:id="82" w:name="_Hlk75374941"/>
      <w:r>
        <w:rPr>
          <w:rFonts w:ascii="宋体" w:eastAsia="宋体" w:hAnsi="宋体" w:hint="eastAsia"/>
          <w:szCs w:val="21"/>
        </w:rPr>
        <w:t>以联合体形式参与的，质疑应当由组成联合体的所有成员共同提出</w:t>
      </w:r>
      <w:bookmarkEnd w:id="82"/>
      <w:r>
        <w:rPr>
          <w:rFonts w:ascii="宋体" w:eastAsia="宋体" w:hAnsi="宋体" w:hint="eastAsia"/>
          <w:szCs w:val="21"/>
        </w:rPr>
        <w:t>；</w:t>
      </w:r>
    </w:p>
    <w:p>
      <w:pPr>
        <w:spacing w:line="360" w:lineRule="auto"/>
        <w:rPr>
          <w:rFonts w:ascii="宋体" w:eastAsia="宋体" w:hAnsi="宋体"/>
          <w:szCs w:val="21"/>
        </w:rPr>
      </w:pPr>
      <w:r>
        <w:rPr>
          <w:rFonts w:ascii="宋体" w:eastAsia="宋体" w:hAnsi="宋体" w:hint="eastAsia"/>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spacing w:line="360" w:lineRule="auto"/>
        <w:ind w:firstLine="420"/>
        <w:rPr>
          <w:rFonts w:ascii="宋体" w:eastAsia="宋体" w:hAnsi="宋体"/>
          <w:szCs w:val="21"/>
        </w:rPr>
      </w:pPr>
      <w:r>
        <w:rPr>
          <w:rFonts w:ascii="宋体" w:eastAsia="宋体" w:hAnsi="宋体" w:hint="eastAsia"/>
          <w:szCs w:val="21"/>
        </w:rPr>
        <w:t>52.3.3应提交书面质疑函，质疑函应当包括以下内容：</w:t>
      </w:r>
    </w:p>
    <w:p>
      <w:pPr>
        <w:spacing w:line="360" w:lineRule="auto"/>
        <w:ind w:firstLine="420"/>
        <w:rPr>
          <w:rFonts w:ascii="宋体" w:eastAsia="宋体" w:hAnsi="宋体"/>
          <w:szCs w:val="21"/>
        </w:rPr>
      </w:pPr>
      <w:r>
        <w:rPr>
          <w:rFonts w:ascii="宋体" w:eastAsia="宋体" w:hAnsi="宋体" w:hint="eastAsia"/>
          <w:szCs w:val="21"/>
        </w:rPr>
        <w:t>（1）供应商的名称（或者姓名）、地址、邮编、邮箱、联系人及联系电话；</w:t>
      </w:r>
    </w:p>
    <w:p>
      <w:pPr>
        <w:spacing w:line="360" w:lineRule="auto"/>
        <w:ind w:firstLine="420" w:firstLineChars="200"/>
        <w:rPr>
          <w:rFonts w:ascii="宋体" w:eastAsia="宋体" w:hAnsi="宋体"/>
          <w:szCs w:val="21"/>
        </w:rPr>
      </w:pPr>
      <w:r>
        <w:rPr>
          <w:rFonts w:ascii="宋体" w:eastAsia="宋体" w:hAnsi="宋体" w:hint="eastAsia"/>
          <w:szCs w:val="21"/>
        </w:rPr>
        <w:t>（2）质疑项目的名称、编号；</w:t>
      </w:r>
    </w:p>
    <w:p>
      <w:pPr>
        <w:spacing w:line="360" w:lineRule="auto"/>
        <w:ind w:firstLine="420" w:firstLineChars="200"/>
        <w:rPr>
          <w:rFonts w:ascii="宋体" w:eastAsia="宋体" w:hAnsi="宋体"/>
          <w:szCs w:val="21"/>
        </w:rPr>
      </w:pPr>
      <w:r>
        <w:rPr>
          <w:rFonts w:ascii="宋体" w:eastAsia="宋体" w:hAnsi="宋体" w:hint="eastAsia"/>
          <w:szCs w:val="21"/>
        </w:rPr>
        <w:t>（3）具体、明确的质疑对象、质疑事项和质疑请求；</w:t>
      </w:r>
    </w:p>
    <w:p>
      <w:pPr>
        <w:spacing w:line="360" w:lineRule="auto"/>
        <w:ind w:firstLine="420" w:firstLineChars="200"/>
        <w:rPr>
          <w:rFonts w:ascii="宋体" w:eastAsia="宋体" w:hAnsi="宋体"/>
          <w:szCs w:val="21"/>
        </w:rPr>
      </w:pPr>
      <w:r>
        <w:rPr>
          <w:rFonts w:ascii="宋体" w:eastAsia="宋体" w:hAnsi="宋体" w:hint="eastAsia"/>
          <w:szCs w:val="21"/>
        </w:rPr>
        <w:t>（4）因质疑事项而受损害的权益；</w:t>
      </w:r>
    </w:p>
    <w:p>
      <w:pPr>
        <w:spacing w:line="360" w:lineRule="auto"/>
        <w:ind w:firstLine="420" w:firstLineChars="200"/>
        <w:rPr>
          <w:rFonts w:ascii="宋体" w:eastAsia="宋体" w:hAnsi="宋体"/>
          <w:szCs w:val="21"/>
        </w:rPr>
      </w:pPr>
      <w:r>
        <w:rPr>
          <w:rFonts w:ascii="宋体" w:eastAsia="宋体" w:hAnsi="宋体" w:hint="eastAsia"/>
          <w:szCs w:val="21"/>
        </w:rPr>
        <w:t>（5）事实依据；</w:t>
      </w:r>
    </w:p>
    <w:p>
      <w:pPr>
        <w:spacing w:line="360" w:lineRule="auto"/>
        <w:ind w:firstLine="420" w:firstLineChars="200"/>
        <w:rPr>
          <w:rFonts w:ascii="宋体" w:eastAsia="宋体" w:hAnsi="宋体"/>
          <w:szCs w:val="21"/>
        </w:rPr>
      </w:pPr>
      <w:r>
        <w:rPr>
          <w:rFonts w:ascii="宋体" w:eastAsia="宋体" w:hAnsi="宋体" w:hint="eastAsia"/>
          <w:szCs w:val="21"/>
        </w:rPr>
        <w:t>（6）必要的法律依据；</w:t>
      </w:r>
    </w:p>
    <w:p>
      <w:pPr>
        <w:spacing w:line="360" w:lineRule="auto"/>
        <w:ind w:firstLine="420" w:firstLineChars="200"/>
        <w:rPr>
          <w:rFonts w:ascii="宋体" w:eastAsia="宋体" w:hAnsi="宋体"/>
          <w:szCs w:val="21"/>
        </w:rPr>
      </w:pPr>
      <w:r>
        <w:rPr>
          <w:rFonts w:ascii="宋体" w:eastAsia="宋体" w:hAnsi="宋体" w:hint="eastAsia"/>
          <w:szCs w:val="21"/>
        </w:rPr>
        <w:t>（7）提出质疑的日期。</w:t>
      </w:r>
    </w:p>
    <w:p>
      <w:pPr>
        <w:spacing w:line="360" w:lineRule="auto"/>
        <w:ind w:firstLine="420" w:firstLineChars="200"/>
        <w:rPr>
          <w:rFonts w:ascii="宋体" w:eastAsia="宋体" w:hAnsi="宋体"/>
          <w:szCs w:val="21"/>
        </w:rPr>
      </w:pPr>
      <w:r>
        <w:rPr>
          <w:rFonts w:ascii="宋体" w:eastAsia="宋体" w:hAnsi="宋体" w:hint="eastAsia"/>
          <w:szCs w:val="21"/>
        </w:rPr>
        <w:t>供应商为自然人的，应当由本人签字；供应商为法人或者其他组织的，应当由法定代表人（负责人），或者其授权代理人签字或者盖章，并加盖公章。</w:t>
      </w:r>
    </w:p>
    <w:p>
      <w:pPr>
        <w:spacing w:line="360" w:lineRule="auto"/>
        <w:ind w:firstLine="420" w:firstLineChars="200"/>
        <w:rPr>
          <w:rFonts w:ascii="宋体" w:eastAsia="宋体" w:hAnsi="宋体"/>
          <w:szCs w:val="21"/>
        </w:rPr>
      </w:pPr>
      <w:r>
        <w:rPr>
          <w:rFonts w:ascii="宋体" w:eastAsia="宋体" w:hAnsi="宋体" w:hint="eastAsia"/>
          <w:szCs w:val="21"/>
        </w:rPr>
        <w:t>52.4提交</w:t>
      </w:r>
      <w:r>
        <w:rPr>
          <w:rFonts w:ascii="宋体" w:eastAsia="宋体" w:hAnsi="宋体"/>
          <w:szCs w:val="21"/>
        </w:rPr>
        <w:t>材料</w:t>
      </w:r>
    </w:p>
    <w:p>
      <w:pPr>
        <w:spacing w:line="360" w:lineRule="auto"/>
        <w:ind w:firstLine="420" w:firstLineChars="200"/>
        <w:rPr>
          <w:rFonts w:ascii="宋体" w:eastAsia="宋体" w:hAnsi="宋体"/>
          <w:szCs w:val="21"/>
        </w:rPr>
      </w:pPr>
      <w:r>
        <w:rPr>
          <w:rFonts w:ascii="宋体" w:eastAsia="宋体" w:hAnsi="宋体"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spacing w:line="360" w:lineRule="auto"/>
        <w:ind w:firstLine="420" w:firstLineChars="200"/>
        <w:rPr>
          <w:rFonts w:ascii="宋体" w:eastAsia="宋体" w:hAnsi="宋体"/>
          <w:szCs w:val="21"/>
        </w:rPr>
      </w:pPr>
      <w:r>
        <w:rPr>
          <w:rFonts w:ascii="宋体" w:eastAsia="宋体" w:hAnsi="宋体" w:hint="eastAsia"/>
          <w:szCs w:val="21"/>
        </w:rPr>
        <w:t>供应商可以委托代理人进行质疑。</w:t>
      </w:r>
      <w:r>
        <w:rPr>
          <w:rFonts w:ascii="宋体" w:eastAsia="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360" w:lineRule="auto"/>
        <w:ind w:firstLine="420" w:firstLineChars="200"/>
        <w:rPr>
          <w:rFonts w:ascii="宋体" w:eastAsia="宋体" w:hAnsi="宋体"/>
          <w:szCs w:val="21"/>
        </w:rPr>
      </w:pPr>
      <w:r>
        <w:rPr>
          <w:rFonts w:ascii="宋体" w:eastAsia="宋体" w:hAnsi="宋体" w:hint="eastAsia"/>
          <w:szCs w:val="21"/>
        </w:rPr>
        <w:t>52.5提交方式</w:t>
      </w:r>
    </w:p>
    <w:p>
      <w:pPr>
        <w:spacing w:line="360" w:lineRule="auto"/>
        <w:ind w:firstLine="420"/>
        <w:rPr>
          <w:rFonts w:ascii="宋体" w:eastAsia="宋体" w:hAnsi="宋体"/>
          <w:szCs w:val="21"/>
        </w:rPr>
      </w:pPr>
      <w:r>
        <w:rPr>
          <w:rFonts w:ascii="宋体" w:eastAsia="宋体" w:hAnsi="宋体" w:hint="eastAsia"/>
          <w:szCs w:val="21"/>
        </w:rPr>
        <w:t>5</w:t>
      </w:r>
      <w:r>
        <w:rPr>
          <w:rFonts w:ascii="宋体" w:eastAsia="宋体" w:hAnsi="宋体"/>
          <w:szCs w:val="21"/>
        </w:rPr>
        <w:t>2.5.1</w:t>
      </w:r>
      <w:r>
        <w:rPr>
          <w:rFonts w:ascii="宋体" w:eastAsia="宋体" w:hAnsi="宋体" w:hint="eastAsia"/>
          <w:szCs w:val="21"/>
        </w:rPr>
        <w:t>供应商登录“深圳政府采购智慧平台用户网上办事子系统（http://zfcg.szggzy.com/TPBidder/memberLogin）”，在“【我的项目】→【项目流程】→【质疑】”中提出质疑。</w:t>
      </w:r>
    </w:p>
    <w:p>
      <w:pPr>
        <w:spacing w:line="360" w:lineRule="auto"/>
        <w:ind w:firstLine="420" w:firstLineChars="200"/>
        <w:rPr>
          <w:rFonts w:ascii="宋体" w:eastAsia="宋体" w:hAnsi="宋体"/>
          <w:b/>
          <w:bCs/>
          <w:szCs w:val="21"/>
        </w:rPr>
      </w:pPr>
      <w:r>
        <w:rPr>
          <w:rFonts w:ascii="宋体" w:eastAsia="宋体" w:hAnsi="宋体" w:hint="eastAsia"/>
          <w:szCs w:val="21"/>
        </w:rPr>
        <w:t>5</w:t>
      </w:r>
      <w:r>
        <w:rPr>
          <w:rFonts w:ascii="宋体" w:eastAsia="宋体" w:hAnsi="宋体"/>
          <w:szCs w:val="21"/>
        </w:rPr>
        <w:t>2.5.2</w:t>
      </w:r>
      <w:r>
        <w:rPr>
          <w:rFonts w:ascii="宋体" w:eastAsia="宋体" w:hAnsi="宋体" w:hint="eastAsia"/>
          <w:szCs w:val="21"/>
        </w:rPr>
        <w:t>同时，请质疑供应商根据深圳政府采购智慧平台（http://zfcg.szggzy.com/）所发布的质疑指引、质疑函模板填写质疑函并提交质疑材料。</w:t>
      </w:r>
      <w:r>
        <w:rPr>
          <w:rFonts w:ascii="宋体" w:eastAsia="宋体" w:hAnsi="宋体" w:hint="eastAsia"/>
          <w:bCs/>
          <w:szCs w:val="21"/>
        </w:rPr>
        <w:t>地址：深圳市中正招标有限公司（深圳市福田区民田路171号新华保险大厦903），质疑咨询电话：0755-83026699。</w:t>
      </w:r>
    </w:p>
    <w:p>
      <w:pPr>
        <w:spacing w:line="360" w:lineRule="auto"/>
        <w:ind w:firstLine="420" w:firstLineChars="200"/>
        <w:rPr>
          <w:rFonts w:ascii="宋体" w:eastAsia="宋体" w:hAnsi="宋体"/>
          <w:szCs w:val="21"/>
        </w:rPr>
      </w:pPr>
      <w:r>
        <w:rPr>
          <w:rFonts w:ascii="宋体" w:eastAsia="宋体" w:hAnsi="宋体" w:hint="eastAsia"/>
          <w:szCs w:val="21"/>
        </w:rPr>
        <w:t>52.6收文办理</w:t>
      </w:r>
      <w:r>
        <w:rPr>
          <w:rFonts w:ascii="宋体" w:eastAsia="宋体" w:hAnsi="宋体"/>
          <w:szCs w:val="21"/>
        </w:rPr>
        <w:t>程序</w:t>
      </w:r>
    </w:p>
    <w:p>
      <w:pPr>
        <w:spacing w:line="360" w:lineRule="auto"/>
        <w:ind w:firstLine="420" w:firstLineChars="200"/>
        <w:rPr>
          <w:rFonts w:ascii="宋体" w:eastAsia="宋体" w:hAnsi="宋体"/>
          <w:szCs w:val="21"/>
        </w:rPr>
      </w:pPr>
      <w:r>
        <w:rPr>
          <w:rFonts w:ascii="宋体" w:eastAsia="宋体" w:hAnsi="宋体" w:hint="eastAsia"/>
          <w:szCs w:val="21"/>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pPr>
        <w:spacing w:line="360" w:lineRule="auto"/>
        <w:ind w:firstLine="420" w:firstLineChars="200"/>
        <w:rPr>
          <w:rFonts w:ascii="宋体" w:eastAsia="宋体" w:hAnsi="宋体"/>
          <w:szCs w:val="21"/>
        </w:rPr>
      </w:pPr>
      <w:r>
        <w:rPr>
          <w:rFonts w:ascii="宋体" w:eastAsia="宋体" w:hAnsi="宋体" w:hint="eastAsia"/>
          <w:szCs w:val="21"/>
        </w:rPr>
        <w:t>52.6.2供应商提交的质疑材料不符合质疑条件的，视情况处理：</w:t>
      </w:r>
    </w:p>
    <w:p>
      <w:pPr>
        <w:spacing w:line="360" w:lineRule="auto"/>
        <w:ind w:firstLine="420" w:firstLineChars="200"/>
        <w:rPr>
          <w:rFonts w:ascii="宋体" w:eastAsia="宋体" w:hAnsi="宋体"/>
          <w:szCs w:val="21"/>
        </w:rPr>
      </w:pPr>
      <w:r>
        <w:rPr>
          <w:rFonts w:ascii="宋体" w:eastAsia="宋体" w:hAnsi="宋体" w:hint="eastAsia"/>
          <w:szCs w:val="21"/>
        </w:rPr>
        <w:t>供应商提交的质疑材料不全或者未按要求签字或者盖章的，采购代理机构应当一次性告知供应商需补正的内容和补正期限。</w:t>
      </w:r>
    </w:p>
    <w:p>
      <w:pPr>
        <w:spacing w:line="360" w:lineRule="auto"/>
        <w:ind w:firstLine="420" w:firstLineChars="200"/>
        <w:rPr>
          <w:rFonts w:ascii="宋体" w:eastAsia="宋体" w:hAnsi="宋体"/>
          <w:szCs w:val="21"/>
        </w:rPr>
      </w:pPr>
      <w:r>
        <w:rPr>
          <w:rFonts w:ascii="宋体" w:eastAsia="宋体" w:hAnsi="宋体" w:hint="eastAsia"/>
          <w:szCs w:val="21"/>
        </w:rPr>
        <w:t>供应商提交的质疑存在下列情形之一的，不予受理：</w:t>
      </w:r>
    </w:p>
    <w:p>
      <w:pPr>
        <w:spacing w:line="360" w:lineRule="auto"/>
        <w:ind w:firstLine="420" w:firstLineChars="200"/>
        <w:rPr>
          <w:rFonts w:ascii="宋体" w:eastAsia="宋体" w:hAnsi="宋体"/>
          <w:szCs w:val="21"/>
        </w:rPr>
      </w:pPr>
      <w:r>
        <w:rPr>
          <w:rFonts w:ascii="宋体" w:eastAsia="宋体" w:hAnsi="宋体" w:hint="eastAsia"/>
          <w:szCs w:val="21"/>
        </w:rPr>
        <w:t>（1）质疑主体不满足要求的；</w:t>
      </w:r>
    </w:p>
    <w:p>
      <w:pPr>
        <w:spacing w:line="360" w:lineRule="auto"/>
        <w:ind w:firstLine="420" w:firstLineChars="200"/>
        <w:rPr>
          <w:rFonts w:ascii="宋体" w:eastAsia="宋体" w:hAnsi="宋体"/>
          <w:szCs w:val="21"/>
        </w:rPr>
      </w:pPr>
      <w:r>
        <w:rPr>
          <w:rFonts w:ascii="宋体" w:eastAsia="宋体" w:hAnsi="宋体" w:hint="eastAsia"/>
          <w:szCs w:val="21"/>
        </w:rPr>
        <w:t>（2）供应商自身权益未受到损害的；</w:t>
      </w:r>
    </w:p>
    <w:p>
      <w:pPr>
        <w:spacing w:line="360" w:lineRule="auto"/>
        <w:ind w:firstLine="420" w:firstLineChars="200"/>
        <w:rPr>
          <w:rFonts w:ascii="宋体" w:eastAsia="宋体" w:hAnsi="宋体"/>
          <w:szCs w:val="21"/>
        </w:rPr>
      </w:pPr>
      <w:r>
        <w:rPr>
          <w:rFonts w:ascii="宋体" w:eastAsia="宋体" w:hAnsi="宋体" w:hint="eastAsia"/>
          <w:szCs w:val="21"/>
        </w:rPr>
        <w:t>（3）供应商未在法定质疑期限内提出质疑的；</w:t>
      </w:r>
    </w:p>
    <w:p>
      <w:pPr>
        <w:spacing w:line="360" w:lineRule="auto"/>
        <w:ind w:firstLine="420" w:firstLineChars="200"/>
        <w:rPr>
          <w:rFonts w:ascii="宋体" w:eastAsia="宋体" w:hAnsi="宋体"/>
          <w:szCs w:val="21"/>
        </w:rPr>
      </w:pPr>
      <w:r>
        <w:rPr>
          <w:rFonts w:ascii="宋体" w:eastAsia="宋体" w:hAnsi="宋体" w:hint="eastAsia"/>
          <w:szCs w:val="21"/>
        </w:rPr>
        <w:t>（4）质疑材料不全或者未按要求签字或者盖章的情况下，要求补正后，逾期未补正或者补正后仍不符合规定的；</w:t>
      </w:r>
    </w:p>
    <w:p>
      <w:pPr>
        <w:spacing w:line="360" w:lineRule="auto"/>
        <w:ind w:firstLine="420" w:firstLineChars="200"/>
        <w:rPr>
          <w:rFonts w:ascii="宋体" w:eastAsia="宋体" w:hAnsi="宋体"/>
          <w:szCs w:val="21"/>
        </w:rPr>
      </w:pPr>
      <w:r>
        <w:rPr>
          <w:rFonts w:ascii="宋体" w:eastAsia="宋体" w:hAnsi="宋体" w:hint="eastAsia"/>
          <w:szCs w:val="21"/>
        </w:rPr>
        <w:t>（5）其他不符合受理条件情形的。</w:t>
      </w:r>
    </w:p>
    <w:p>
      <w:pPr>
        <w:spacing w:line="360" w:lineRule="auto"/>
        <w:ind w:firstLine="420" w:firstLineChars="200"/>
        <w:rPr>
          <w:rFonts w:ascii="宋体" w:eastAsia="宋体" w:hAnsi="宋体"/>
          <w:szCs w:val="21"/>
        </w:rPr>
      </w:pPr>
      <w:r>
        <w:rPr>
          <w:rFonts w:ascii="宋体" w:eastAsia="宋体" w:hAnsi="宋体" w:hint="eastAsia"/>
          <w:szCs w:val="21"/>
        </w:rPr>
        <w:t>质疑事项不予受理的，采购代理机构应当向供应商出具不符合质疑条件告知书。</w:t>
      </w:r>
    </w:p>
    <w:p>
      <w:pPr>
        <w:spacing w:line="360" w:lineRule="auto"/>
        <w:rPr>
          <w:rFonts w:ascii="宋体" w:eastAsia="宋体" w:hAnsi="宋体"/>
          <w:szCs w:val="21"/>
        </w:rPr>
      </w:pPr>
      <w:r>
        <w:rPr>
          <w:rFonts w:ascii="宋体" w:eastAsia="宋体" w:hAnsi="宋体" w:hint="eastAsia"/>
          <w:szCs w:val="21"/>
        </w:rPr>
        <w:t xml:space="preserve">  52.7质疑答复时限</w:t>
      </w:r>
    </w:p>
    <w:p>
      <w:pPr>
        <w:spacing w:line="360" w:lineRule="auto"/>
        <w:rPr>
          <w:rFonts w:ascii="宋体" w:eastAsia="宋体" w:hAnsi="宋体"/>
          <w:szCs w:val="21"/>
        </w:rPr>
      </w:pPr>
      <w:r>
        <w:rPr>
          <w:rFonts w:ascii="宋体" w:eastAsia="宋体" w:hAnsi="宋体" w:hint="eastAsia"/>
          <w:szCs w:val="21"/>
        </w:rPr>
        <w:t xml:space="preserve">    自收文之日起七个工作日内。</w:t>
      </w:r>
    </w:p>
    <w:p>
      <w:pPr>
        <w:spacing w:line="360" w:lineRule="auto"/>
        <w:rPr>
          <w:rFonts w:ascii="宋体" w:eastAsia="宋体" w:hAnsi="宋体"/>
          <w:szCs w:val="21"/>
        </w:rPr>
      </w:pPr>
      <w:r>
        <w:rPr>
          <w:rFonts w:ascii="宋体" w:eastAsia="宋体" w:hAnsi="宋体" w:hint="eastAsia"/>
          <w:szCs w:val="21"/>
        </w:rPr>
        <w:t xml:space="preserve">  52.8投诉</w:t>
      </w:r>
    </w:p>
    <w:p>
      <w:pPr>
        <w:spacing w:line="360" w:lineRule="auto"/>
        <w:rPr>
          <w:rFonts w:ascii="宋体" w:eastAsia="宋体" w:hAnsi="宋体"/>
          <w:szCs w:val="21"/>
        </w:rPr>
      </w:pPr>
      <w:r>
        <w:rPr>
          <w:rFonts w:ascii="宋体" w:eastAsia="宋体" w:hAnsi="宋体" w:hint="eastAsia"/>
          <w:szCs w:val="21"/>
        </w:rPr>
        <w:t xml:space="preserve">    对质疑答复不满意或者未在规定时间内答复的，提出质疑的供应商可以在答复期满后15个工作日内向同级财政部门投诉。</w:t>
      </w:r>
      <w:bookmarkEnd w:id="81"/>
    </w:p>
    <w:p>
      <w:pPr>
        <w:widowControl/>
        <w:jc w:val="left"/>
        <w:rPr>
          <w:rFonts w:ascii="宋体" w:hAnsi="宋体"/>
          <w:b/>
          <w:bCs/>
          <w:kern w:val="0"/>
          <w:sz w:val="24"/>
          <w:szCs w:val="20"/>
        </w:rPr>
      </w:pPr>
    </w:p>
    <w:sectPr>
      <w:pgSz w:w="11906" w:h="16838"/>
      <w:pgMar w:top="1440" w:right="1417" w:bottom="1440" w:left="1417"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7A"/>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7A"/>
    <w:family w:val="auto"/>
    <w:pitch w:val="default"/>
    <w:sig w:usb0="80000287" w:usb1="2ACF3C50" w:usb2="00000016" w:usb3="00000000" w:csb0="0004001F" w:csb1="00000000"/>
  </w:font>
  <w:font w:name="??">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汉仪细等线简">
    <w:altName w:val="宋体"/>
    <w:panose1 w:val="00000000000000000000"/>
    <w:charset w:val="86"/>
    <w:family w:val="modern"/>
    <w:pitch w:val="default"/>
    <w:sig w:usb0="00000000" w:usb1="00000000" w:usb2="00000012"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7A"/>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Helvetica">
    <w:altName w:val="Arial"/>
    <w:panose1 w:val="020B0604020002020204"/>
    <w:charset w:val="00"/>
    <w:family w:val="swiss"/>
    <w:pitch w:val="default"/>
    <w:sig w:usb0="00000000" w:usb1="00000000" w:usb2="00000000" w:usb3="00000000" w:csb0="00000001" w:csb1="00000000"/>
  </w:font>
  <w:font w:name="Arial (W1)">
    <w:altName w:val="Arial"/>
    <w:panose1 w:val="00000000000000000000"/>
    <w:charset w:val="00"/>
    <w:family w:val="swiss"/>
    <w:pitch w:val="default"/>
    <w:sig w:usb0="00000000" w:usb1="00000000" w:usb2="00000009" w:usb3="00000000" w:csb0="000001FF" w:csb1="00000000"/>
  </w:font>
  <w:font w:name="新宋体">
    <w:panose1 w:val="02010609030101010101"/>
    <w:charset w:val="7A"/>
    <w:family w:val="modern"/>
    <w:pitch w:val="default"/>
    <w:sig w:usb0="00000203" w:usb1="288F0000" w:usb2="00000006" w:usb3="00000000" w:csb0="00040001" w:csb1="00000000"/>
  </w:font>
  <w:font w:name="华文仿宋">
    <w:panose1 w:val="02010600040101010101"/>
    <w:charset w:val="7A"/>
    <w:family w:val="auto"/>
    <w:pitch w:val="default"/>
    <w:sig w:usb0="00000287" w:usb1="080F0000" w:usb2="00000000" w:usb3="00000000" w:csb0="0004009F" w:csb1="DFD70000"/>
  </w:font>
  <w:font w:name="文鼎粗黑">
    <w:altName w:val="黑体"/>
    <w:panose1 w:val="00000000000000000000"/>
    <w:charset w:val="86"/>
    <w:family w:val="modern"/>
    <w:pitch w:val="default"/>
    <w:sig w:usb0="00000000" w:usb1="00000000" w:usb2="00000010" w:usb3="00000000" w:csb0="00040000" w:csb1="00000000"/>
  </w:font>
  <w:font w:name="MS Mincho">
    <w:altName w:val="MS UI Gothic"/>
    <w:panose1 w:val="02020609040205080304"/>
    <w:charset w:val="80"/>
    <w:family w:val="modern"/>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7A"/>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fldChar w:fldCharType="begin"/>
    </w:r>
    <w:r>
      <w:instrText xml:space="preserve"> PAGE   \* MERGEFORMAT </w:instrText>
    </w:r>
    <w:r>
      <w:fldChar w:fldCharType="separate"/>
    </w:r>
    <w:r>
      <w:rPr>
        <w:lang w:val="zh-CN"/>
      </w:rPr>
      <w:t>77</w:t>
    </w:r>
    <w:r>
      <w:rPr>
        <w:lang w:val="zh-CN"/>
      </w:rPr>
      <w:fldChar w:fldCharType="end"/>
    </w:r>
  </w:p>
  <w:p>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230A2BCA"/>
    <w:multiLevelType w:val="singleLevel"/>
    <w:tmpl w:val="230A2BCA"/>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420"/>
  <w:drawingGridHorizontalSpacing w:val="105"/>
  <w:drawingGridVerticalSpacing w:val="156"/>
  <w:doNotShadeFormData/>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qFormat="1"/>
    <w:lsdException w:name="heading 8" w:semiHidden="0" w:uiPriority="0" w:unhideWhenUsed="0"/>
    <w:lsdException w:name="heading 9" w:semiHidden="0" w:uiPriority="0" w:unhideWhenUsed="0"/>
    <w:lsdException w:name="index 1" w:semiHidden="0" w:uiPriority="0" w:unhideWhenUsed="0" w:qFormat="1"/>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semiHidden="0" w:uiPriority="0" w:unhideWhenUsed="0" w:qFormat="1"/>
    <w:lsdException w:name="toc 6" w:semiHidden="0" w:uiPriority="0" w:unhideWhenUsed="0" w:qFormat="1"/>
    <w:lsdException w:name="toc 7" w:semiHidden="0" w:uiPriority="0" w:unhideWhenUsed="0" w:qFormat="1"/>
    <w:lsdException w:name="toc 8" w:semiHidden="0" w:uiPriority="0" w:unhideWhenUsed="0" w:qFormat="1"/>
    <w:lsdException w:name="toc 9" w:semiHidden="0" w:uiPriority="0" w:unhideWhenUsed="0" w:qFormat="1"/>
    <w:lsdException w:name="Normal Indent" w:semiHidden="0" w:uiPriority="0" w:unhideWhenUsed="0" w:qFormat="1"/>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qFormat="1"/>
    <w:lsdException w:name="Body Text First Indent 2" w:semiHidden="0" w:uiPriority="0" w:unhideWhenUsed="0"/>
    <w:lsdException w:name="Body Text 2" w:semiHidden="0" w:uiPriority="0" w:unhideWhenUsed="0" w:qFormat="1"/>
    <w:lsdException w:name="Body Text 3" w:semiHidden="0" w:uiPriority="0" w:unhideWhenUsed="0" w:qFormat="1"/>
    <w:lsdException w:name="Body Text Indent 2" w:semiHidden="0" w:uiPriority="0" w:unhideWhenUsed="0" w:qFormat="1"/>
    <w:lsdException w:name="Body Text Indent 3" w:semiHidden="0" w:uiPriority="0" w:unhideWhenUsed="0" w:qFormat="1"/>
    <w:lsdException w:name="Block Text" w:semiHidden="0" w:uiPriority="0" w:unhideWhenUsed="0"/>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qFormat="1"/>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qFormat="1"/>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qFormat="1"/>
    <w:lsdException w:name="annotation subject" w:semiHidden="0" w:uiPriority="0" w:unhideWhenUsed="0" w:qFormat="1"/>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qFormat="1"/>
    <w:lsdException w:name="Table Grid" w:semiHidden="0" w:uiPriority="0" w:unhideWhenUsed="0" w:qFormat="1"/>
    <w:lsdException w:name="Table Theme" w:semiHidden="0"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pPr>
      <w:widowControl w:val="0"/>
      <w:jc w:val="both"/>
    </w:pPr>
    <w:rPr>
      <w:rFonts w:ascii="Calibri" w:eastAsia="宋体" w:hAnsi="Calibri" w:cs="Times New Roman"/>
      <w:kern w:val="2"/>
      <w:sz w:val="21"/>
      <w:szCs w:val="22"/>
      <w:lang w:val="en-US" w:eastAsia="zh-CN" w:bidi="ar-SA"/>
    </w:rPr>
  </w:style>
  <w:style w:type="paragraph" w:styleId="Heading1">
    <w:name w:val="heading 1"/>
    <w:basedOn w:val="Normal"/>
    <w:next w:val="Normal"/>
    <w:link w:val="1Char"/>
    <w:pPr>
      <w:spacing w:before="340" w:after="330" w:line="360" w:lineRule="auto"/>
      <w:jc w:val="center"/>
      <w:outlineLvl w:val="0"/>
    </w:pPr>
    <w:rPr>
      <w:rFonts w:ascii="Times New Roman" w:eastAsia="黑体" w:hAnsi="Times New Roman" w:cs="Times New Roman"/>
      <w:kern w:val="44"/>
      <w:szCs w:val="44"/>
    </w:rPr>
  </w:style>
  <w:style w:type="paragraph" w:styleId="Heading2">
    <w:name w:val="heading 2"/>
    <w:basedOn w:val="Normal"/>
    <w:next w:val="Normal"/>
    <w:link w:val="2Char"/>
    <w:pPr>
      <w:adjustRightInd w:val="0"/>
      <w:jc w:val="center"/>
      <w:textAlignment w:val="baseline"/>
      <w:outlineLvl w:val="1"/>
    </w:pPr>
    <w:rPr>
      <w:rFonts w:ascii="Times New Roman" w:eastAsia="宋体" w:hAnsi="Times New Roman" w:cs="Times New Roman"/>
      <w:sz w:val="24"/>
      <w:szCs w:val="20"/>
    </w:rPr>
  </w:style>
  <w:style w:type="paragraph" w:styleId="Heading3">
    <w:name w:val="heading 3"/>
    <w:basedOn w:val="Heading4"/>
    <w:next w:val="Normal"/>
    <w:link w:val="3Char11"/>
    <w:pPr>
      <w:spacing w:before="260" w:after="260" w:line="240" w:lineRule="auto"/>
      <w:outlineLvl w:val="2"/>
    </w:pPr>
    <w:rPr>
      <w:rFonts w:ascii="宋体" w:eastAsia="宋体" w:hAnsi="宋体" w:cs="Times New Roman"/>
      <w:szCs w:val="32"/>
    </w:rPr>
  </w:style>
  <w:style w:type="paragraph" w:styleId="Heading4">
    <w:name w:val="heading 4"/>
    <w:basedOn w:val="Normal"/>
    <w:next w:val="Normal"/>
    <w:link w:val="4Char"/>
    <w:pPr>
      <w:keepNext/>
      <w:keepLines/>
      <w:spacing w:before="280" w:after="290" w:line="376" w:lineRule="auto"/>
      <w:outlineLvl w:val="3"/>
    </w:pPr>
    <w:rPr>
      <w:rFonts w:ascii="Arial" w:eastAsia="黑体" w:hAnsi="Arial" w:cs="Times New Roman"/>
      <w:b/>
      <w:bCs/>
      <w:kern w:val="0"/>
      <w:sz w:val="28"/>
      <w:szCs w:val="28"/>
    </w:rPr>
  </w:style>
  <w:style w:type="paragraph" w:styleId="Heading5">
    <w:name w:val="heading 5"/>
    <w:basedOn w:val="Normal"/>
    <w:next w:val="NormalIndent"/>
    <w:link w:val="5Char"/>
    <w:pPr>
      <w:keepNext/>
      <w:keepLines/>
      <w:spacing w:before="280" w:after="290" w:line="376" w:lineRule="auto"/>
      <w:outlineLvl w:val="4"/>
    </w:pPr>
    <w:rPr>
      <w:rFonts w:ascii="Times New Roman" w:eastAsia="宋体" w:hAnsi="Times New Roman" w:cs="Times New Roman"/>
      <w:b/>
      <w:kern w:val="0"/>
      <w:sz w:val="28"/>
      <w:szCs w:val="20"/>
    </w:rPr>
  </w:style>
  <w:style w:type="paragraph" w:styleId="Heading6">
    <w:name w:val="heading 6"/>
    <w:basedOn w:val="Normal"/>
    <w:next w:val="NormalIndent"/>
    <w:link w:val="6Char"/>
    <w:pPr>
      <w:keepNext/>
      <w:keepLines/>
      <w:spacing w:before="240" w:after="64" w:line="320" w:lineRule="auto"/>
      <w:outlineLvl w:val="5"/>
    </w:pPr>
    <w:rPr>
      <w:rFonts w:ascii="Arial" w:eastAsia="黑体" w:hAnsi="Arial" w:cs="Times New Roman"/>
      <w:b/>
      <w:kern w:val="0"/>
      <w:sz w:val="24"/>
      <w:szCs w:val="20"/>
    </w:rPr>
  </w:style>
  <w:style w:type="paragraph" w:styleId="Heading7">
    <w:name w:val="heading 7"/>
    <w:basedOn w:val="Normal"/>
    <w:next w:val="NormalIndent"/>
    <w:link w:val="7Char"/>
    <w:qFormat/>
    <w:pPr>
      <w:keepNext/>
      <w:keepLines/>
      <w:spacing w:before="240" w:after="64" w:line="320" w:lineRule="auto"/>
      <w:outlineLvl w:val="6"/>
    </w:pPr>
    <w:rPr>
      <w:rFonts w:ascii="Times New Roman" w:eastAsia="宋体" w:hAnsi="Times New Roman" w:cs="Times New Roman"/>
      <w:b/>
      <w:kern w:val="0"/>
      <w:sz w:val="24"/>
      <w:szCs w:val="20"/>
    </w:rPr>
  </w:style>
  <w:style w:type="paragraph" w:styleId="Heading8">
    <w:name w:val="heading 8"/>
    <w:basedOn w:val="Normal"/>
    <w:next w:val="NormalIndent"/>
    <w:link w:val="8Char"/>
    <w:pPr>
      <w:keepNext/>
      <w:keepLines/>
      <w:spacing w:before="240" w:after="64" w:line="320" w:lineRule="auto"/>
      <w:outlineLvl w:val="7"/>
    </w:pPr>
    <w:rPr>
      <w:rFonts w:ascii="Arial" w:eastAsia="黑体" w:hAnsi="Arial" w:cs="Times New Roman"/>
      <w:kern w:val="0"/>
      <w:sz w:val="24"/>
      <w:szCs w:val="20"/>
    </w:rPr>
  </w:style>
  <w:style w:type="paragraph" w:styleId="Heading9">
    <w:name w:val="heading 9"/>
    <w:basedOn w:val="Normal"/>
    <w:next w:val="NormalIndent"/>
    <w:link w:val="9Char"/>
    <w:pPr>
      <w:keepNext/>
      <w:keepLines/>
      <w:spacing w:before="240" w:after="64" w:line="320" w:lineRule="auto"/>
      <w:outlineLvl w:val="8"/>
    </w:pPr>
    <w:rPr>
      <w:rFonts w:ascii="Arial" w:eastAsia="黑体" w:hAnsi="Arial" w:cs="Times New Roman"/>
      <w:kern w:val="0"/>
      <w:sz w:val="20"/>
      <w:szCs w:val="20"/>
    </w:rPr>
  </w:style>
  <w:style w:type="character" w:default="1" w:styleId="DefaultParagraphFont">
    <w:name w:val="Default Paragraph Font"/>
    <w:rPr>
      <w:rFonts w:ascii="Times New Roman" w:eastAsia="宋体" w:hAnsi="Times New Roman" w:cs="Times New Roman"/>
    </w:rPr>
  </w:style>
  <w:style w:type="table" w:default="1" w:styleId="TableNormal">
    <w:name w:val="Normal Table"/>
    <w:qFormat/>
    <w:tblPr>
      <w:tblCellMar>
        <w:top w:w="0" w:type="dxa"/>
        <w:left w:w="108" w:type="dxa"/>
        <w:bottom w:w="0" w:type="dxa"/>
        <w:right w:w="108" w:type="dxa"/>
      </w:tblCellMar>
    </w:tblPr>
  </w:style>
  <w:style w:type="paragraph" w:styleId="NormalIndent">
    <w:name w:val="Normal Indent"/>
    <w:basedOn w:val="Normal"/>
    <w:link w:val="Char"/>
    <w:qFormat/>
    <w:pPr>
      <w:ind w:firstLine="420"/>
    </w:pPr>
    <w:rPr>
      <w:rFonts w:ascii="Times New Roman" w:eastAsia="宋体" w:hAnsi="Times New Roman" w:cs="Times New Roman"/>
      <w:kern w:val="0"/>
      <w:sz w:val="20"/>
      <w:szCs w:val="20"/>
    </w:rPr>
  </w:style>
  <w:style w:type="paragraph" w:styleId="TOC7">
    <w:name w:val="toc 7"/>
    <w:basedOn w:val="Normal"/>
    <w:next w:val="Normal"/>
    <w:qFormat/>
    <w:pPr>
      <w:ind w:left="1260"/>
      <w:jc w:val="left"/>
    </w:pPr>
    <w:rPr>
      <w:rFonts w:ascii="Times New Roman" w:eastAsia="宋体" w:hAnsi="Times New Roman" w:cs="Times New Roman"/>
      <w:szCs w:val="21"/>
    </w:rPr>
  </w:style>
  <w:style w:type="paragraph" w:styleId="Caption">
    <w:name w:val="caption"/>
    <w:basedOn w:val="Normal"/>
    <w:next w:val="Normal"/>
    <w:pPr>
      <w:widowControl/>
      <w:spacing w:line="360" w:lineRule="auto"/>
      <w:ind w:firstLine="1940" w:firstLineChars="920"/>
      <w:jc w:val="left"/>
    </w:pPr>
    <w:rPr>
      <w:rFonts w:ascii="宋体" w:eastAsia="宋体" w:hAnsi="宋体" w:cs="Times New Roman"/>
      <w:b/>
      <w:bCs/>
      <w:kern w:val="0"/>
      <w:sz w:val="20"/>
      <w:szCs w:val="20"/>
    </w:rPr>
  </w:style>
  <w:style w:type="paragraph" w:styleId="ListBullet">
    <w:name w:val="List Bullet"/>
    <w:basedOn w:val="Normal"/>
    <w:pPr>
      <w:tabs>
        <w:tab w:val="left" w:pos="360"/>
      </w:tabs>
      <w:ind w:left="360" w:hanging="360"/>
    </w:pPr>
    <w:rPr>
      <w:rFonts w:ascii="Times New Roman" w:eastAsia="宋体" w:hAnsi="Times New Roman" w:cs="Times New Roman"/>
      <w:szCs w:val="20"/>
    </w:rPr>
  </w:style>
  <w:style w:type="paragraph" w:styleId="DocumentMap">
    <w:name w:val="Document Map"/>
    <w:basedOn w:val="Normal"/>
    <w:link w:val="Char1"/>
    <w:qFormat/>
    <w:pPr>
      <w:shd w:val="clear" w:color="auto" w:fill="000080"/>
    </w:pPr>
    <w:rPr>
      <w:rFonts w:ascii="Times New Roman" w:eastAsia="宋体" w:hAnsi="Times New Roman" w:cs="Times New Roman"/>
      <w:kern w:val="0"/>
      <w:sz w:val="20"/>
      <w:szCs w:val="24"/>
    </w:rPr>
  </w:style>
  <w:style w:type="paragraph" w:styleId="CommentText">
    <w:name w:val="annotation text"/>
    <w:basedOn w:val="Normal"/>
    <w:link w:val="Char10"/>
    <w:qFormat/>
    <w:pPr>
      <w:autoSpaceDE w:val="0"/>
      <w:autoSpaceDN w:val="0"/>
      <w:adjustRightInd w:val="0"/>
      <w:jc w:val="left"/>
      <w:textAlignment w:val="baseline"/>
    </w:pPr>
    <w:rPr>
      <w:rFonts w:ascii="宋体" w:eastAsia="宋体" w:hAnsi="Times New Roman" w:cs="Times New Roman"/>
      <w:kern w:val="0"/>
      <w:sz w:val="34"/>
      <w:szCs w:val="20"/>
    </w:rPr>
  </w:style>
  <w:style w:type="paragraph" w:styleId="BodyText3">
    <w:name w:val="Body Text 3"/>
    <w:basedOn w:val="Normal"/>
    <w:link w:val="3Char1"/>
    <w:qFormat/>
    <w:pPr>
      <w:spacing w:after="120"/>
    </w:pPr>
    <w:rPr>
      <w:rFonts w:ascii="Times New Roman" w:eastAsia="宋体" w:hAnsi="Times New Roman" w:cs="Times New Roman"/>
      <w:kern w:val="0"/>
      <w:sz w:val="16"/>
      <w:szCs w:val="16"/>
    </w:rPr>
  </w:style>
  <w:style w:type="paragraph" w:styleId="BodyText">
    <w:name w:val="Body Text"/>
    <w:basedOn w:val="Normal"/>
    <w:next w:val="BodyText2"/>
    <w:link w:val="Char2"/>
    <w:qFormat/>
    <w:pPr>
      <w:spacing w:line="360" w:lineRule="auto"/>
    </w:pPr>
    <w:rPr>
      <w:rFonts w:ascii="Times New Roman" w:eastAsia="宋体" w:hAnsi="Times New Roman" w:cs="Times New Roman"/>
      <w:b/>
      <w:bCs/>
      <w:kern w:val="0"/>
      <w:sz w:val="24"/>
      <w:szCs w:val="24"/>
    </w:rPr>
  </w:style>
  <w:style w:type="paragraph" w:styleId="BodyText2">
    <w:name w:val="Body Text 2"/>
    <w:basedOn w:val="Normal"/>
    <w:link w:val="2Char1"/>
    <w:qFormat/>
    <w:pPr>
      <w:spacing w:line="360" w:lineRule="auto"/>
    </w:pPr>
    <w:rPr>
      <w:rFonts w:ascii="Times New Roman" w:eastAsia="宋体" w:hAnsi="Times New Roman" w:cs="Times New Roman"/>
      <w:kern w:val="0"/>
      <w:sz w:val="24"/>
      <w:szCs w:val="24"/>
    </w:rPr>
  </w:style>
  <w:style w:type="paragraph" w:styleId="BodyTextIndent">
    <w:name w:val="Body Text Indent"/>
    <w:basedOn w:val="Normal"/>
    <w:link w:val="Char11"/>
    <w:qFormat/>
    <w:pPr>
      <w:spacing w:line="360" w:lineRule="auto"/>
      <w:ind w:firstLine="420" w:firstLineChars="200"/>
    </w:pPr>
    <w:rPr>
      <w:rFonts w:ascii="Times New Roman" w:eastAsia="宋体" w:hAnsi="Times New Roman" w:cs="Times New Roman"/>
      <w:kern w:val="0"/>
      <w:sz w:val="20"/>
      <w:szCs w:val="24"/>
    </w:rPr>
  </w:style>
  <w:style w:type="paragraph" w:styleId="TOC5">
    <w:name w:val="toc 5"/>
    <w:basedOn w:val="Normal"/>
    <w:next w:val="Normal"/>
    <w:qFormat/>
    <w:pPr>
      <w:ind w:left="840"/>
      <w:jc w:val="left"/>
    </w:pPr>
    <w:rPr>
      <w:rFonts w:ascii="Times New Roman" w:eastAsia="宋体" w:hAnsi="Times New Roman" w:cs="Times New Roman"/>
      <w:szCs w:val="21"/>
    </w:rPr>
  </w:style>
  <w:style w:type="paragraph" w:styleId="TOC3">
    <w:name w:val="toc 3"/>
    <w:basedOn w:val="Normal"/>
    <w:next w:val="Normal"/>
    <w:qFormat/>
    <w:pPr>
      <w:ind w:left="420"/>
      <w:jc w:val="left"/>
    </w:pPr>
    <w:rPr>
      <w:rFonts w:ascii="Times New Roman" w:eastAsia="宋体" w:hAnsi="Times New Roman" w:cs="Times New Roman"/>
      <w:i/>
      <w:iCs/>
      <w:szCs w:val="24"/>
    </w:rPr>
  </w:style>
  <w:style w:type="paragraph" w:styleId="PlainText">
    <w:name w:val="Plain Text"/>
    <w:basedOn w:val="Normal"/>
    <w:link w:val="Char12"/>
    <w:rPr>
      <w:rFonts w:ascii="宋体" w:eastAsia="宋体" w:hAnsi="Courier New" w:cs="Times New Roman"/>
      <w:kern w:val="0"/>
      <w:sz w:val="20"/>
      <w:szCs w:val="20"/>
    </w:rPr>
  </w:style>
  <w:style w:type="paragraph" w:styleId="TOC8">
    <w:name w:val="toc 8"/>
    <w:basedOn w:val="Normal"/>
    <w:next w:val="Normal"/>
    <w:qFormat/>
    <w:pPr>
      <w:ind w:left="1470"/>
      <w:jc w:val="left"/>
    </w:pPr>
    <w:rPr>
      <w:rFonts w:ascii="Times New Roman" w:eastAsia="宋体" w:hAnsi="Times New Roman" w:cs="Times New Roman"/>
      <w:szCs w:val="21"/>
    </w:rPr>
  </w:style>
  <w:style w:type="paragraph" w:styleId="Date">
    <w:name w:val="Date"/>
    <w:basedOn w:val="Normal"/>
    <w:next w:val="Normal"/>
    <w:link w:val="Char13"/>
    <w:rPr>
      <w:rFonts w:ascii="宋体" w:eastAsia="宋体" w:hAnsi="Courier New" w:cs="Times New Roman"/>
      <w:kern w:val="0"/>
      <w:sz w:val="32"/>
      <w:szCs w:val="20"/>
    </w:rPr>
  </w:style>
  <w:style w:type="paragraph" w:styleId="BodyTextIndent2">
    <w:name w:val="Body Text Indent 2"/>
    <w:basedOn w:val="Normal"/>
    <w:link w:val="2Char10"/>
    <w:qFormat/>
    <w:pPr>
      <w:spacing w:beforeLines="50" w:afterLines="50" w:line="120" w:lineRule="auto"/>
      <w:ind w:firstLine="840" w:firstLineChars="400"/>
      <w:jc w:val="left"/>
    </w:pPr>
    <w:rPr>
      <w:rFonts w:ascii="宋体" w:eastAsia="宋体" w:hAnsi="宋体" w:cs="Times New Roman"/>
      <w:kern w:val="0"/>
      <w:sz w:val="20"/>
      <w:szCs w:val="24"/>
    </w:rPr>
  </w:style>
  <w:style w:type="paragraph" w:styleId="BalloonText">
    <w:name w:val="Balloon Text"/>
    <w:basedOn w:val="Normal"/>
    <w:link w:val="Char14"/>
    <w:qFormat/>
    <w:rPr>
      <w:rFonts w:ascii="Times New Roman" w:eastAsia="宋体" w:hAnsi="Times New Roman" w:cs="Times New Roman"/>
      <w:kern w:val="0"/>
      <w:sz w:val="18"/>
      <w:szCs w:val="18"/>
    </w:rPr>
  </w:style>
  <w:style w:type="paragraph" w:styleId="Footer">
    <w:name w:val="footer"/>
    <w:basedOn w:val="Normal"/>
    <w:link w:val="Char0"/>
    <w:qFormat/>
    <w:pPr>
      <w:tabs>
        <w:tab w:val="center" w:pos="4153"/>
        <w:tab w:val="right" w:pos="8306"/>
      </w:tabs>
      <w:snapToGrid w:val="0"/>
      <w:jc w:val="left"/>
    </w:pPr>
    <w:rPr>
      <w:rFonts w:ascii="Times New Roman" w:eastAsia="宋体" w:hAnsi="Times New Roman" w:cs="Times New Roman"/>
      <w:sz w:val="18"/>
      <w:szCs w:val="18"/>
    </w:rPr>
  </w:style>
  <w:style w:type="paragraph" w:styleId="Header">
    <w:name w:val="header"/>
    <w:basedOn w:val="Normal"/>
    <w:link w:val="Char3"/>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TOC1">
    <w:name w:val="toc 1"/>
    <w:basedOn w:val="Normal"/>
    <w:next w:val="Normal"/>
    <w:qFormat/>
    <w:pPr>
      <w:spacing w:before="120" w:after="120"/>
      <w:jc w:val="left"/>
    </w:pPr>
    <w:rPr>
      <w:rFonts w:ascii="Times New Roman" w:eastAsia="宋体" w:hAnsi="Times New Roman" w:cs="Times New Roman"/>
      <w:b/>
      <w:bCs/>
      <w:caps/>
      <w:szCs w:val="24"/>
    </w:rPr>
  </w:style>
  <w:style w:type="paragraph" w:styleId="TOC4">
    <w:name w:val="toc 4"/>
    <w:basedOn w:val="Normal"/>
    <w:next w:val="Normal"/>
    <w:qFormat/>
    <w:pPr>
      <w:ind w:left="630"/>
      <w:jc w:val="left"/>
    </w:pPr>
    <w:rPr>
      <w:rFonts w:ascii="Times New Roman" w:eastAsia="宋体" w:hAnsi="Times New Roman" w:cs="Times New Roman"/>
      <w:szCs w:val="21"/>
    </w:rPr>
  </w:style>
  <w:style w:type="paragraph" w:styleId="TOC6">
    <w:name w:val="toc 6"/>
    <w:basedOn w:val="Normal"/>
    <w:next w:val="Normal"/>
    <w:qFormat/>
    <w:pPr>
      <w:ind w:left="1050"/>
      <w:jc w:val="left"/>
    </w:pPr>
    <w:rPr>
      <w:rFonts w:ascii="Times New Roman" w:eastAsia="宋体" w:hAnsi="Times New Roman" w:cs="Times New Roman"/>
      <w:szCs w:val="21"/>
    </w:rPr>
  </w:style>
  <w:style w:type="paragraph" w:styleId="BodyTextIndent3">
    <w:name w:val="Body Text Indent 3"/>
    <w:basedOn w:val="Normal"/>
    <w:link w:val="3Char10"/>
    <w:qFormat/>
    <w:pPr>
      <w:spacing w:line="360" w:lineRule="auto"/>
      <w:ind w:firstLine="482" w:firstLineChars="200"/>
    </w:pPr>
    <w:rPr>
      <w:rFonts w:ascii="宋体" w:eastAsia="宋体" w:hAnsi="Times New Roman" w:cs="Times New Roman"/>
      <w:b/>
      <w:bCs/>
      <w:kern w:val="0"/>
      <w:sz w:val="24"/>
      <w:szCs w:val="24"/>
    </w:rPr>
  </w:style>
  <w:style w:type="paragraph" w:styleId="TOC2">
    <w:name w:val="toc 2"/>
    <w:basedOn w:val="Normal"/>
    <w:next w:val="Normal"/>
    <w:qFormat/>
    <w:pPr>
      <w:tabs>
        <w:tab w:val="right" w:leader="dot" w:pos="8296"/>
      </w:tabs>
      <w:ind w:left="210"/>
      <w:jc w:val="left"/>
    </w:pPr>
    <w:rPr>
      <w:rFonts w:ascii="Times New Roman" w:eastAsia="宋体" w:hAnsi="Times New Roman" w:cs="Times New Roman"/>
      <w:smallCaps/>
      <w:szCs w:val="24"/>
    </w:rPr>
  </w:style>
  <w:style w:type="paragraph" w:styleId="TOC9">
    <w:name w:val="toc 9"/>
    <w:basedOn w:val="Normal"/>
    <w:next w:val="Normal"/>
    <w:qFormat/>
    <w:pPr>
      <w:ind w:left="1680"/>
      <w:jc w:val="left"/>
    </w:pPr>
    <w:rPr>
      <w:rFonts w:ascii="Times New Roman" w:eastAsia="宋体" w:hAnsi="Times New Roman" w:cs="Times New Roman"/>
      <w:szCs w:val="21"/>
    </w:rPr>
  </w:style>
  <w:style w:type="paragraph" w:styleId="HTMLPreformatted">
    <w:name w:val="HTML Preformatted"/>
    <w:basedOn w:val="Normal"/>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kern w:val="0"/>
      <w:sz w:val="20"/>
      <w:szCs w:val="20"/>
    </w:rPr>
  </w:style>
  <w:style w:type="paragraph" w:styleId="NormalWeb">
    <w:name w:val="Normal (Web)"/>
    <w:basedOn w:val="Normal"/>
    <w:qFormat/>
    <w:pPr>
      <w:widowControl/>
      <w:spacing w:before="100" w:beforeAutospacing="1" w:after="100" w:afterAutospacing="1"/>
      <w:jc w:val="left"/>
    </w:pPr>
    <w:rPr>
      <w:rFonts w:ascii="宋体" w:eastAsia="宋体" w:hAnsi="宋体" w:cs="宋体"/>
      <w:kern w:val="0"/>
      <w:sz w:val="24"/>
      <w:szCs w:val="24"/>
    </w:rPr>
  </w:style>
  <w:style w:type="paragraph" w:styleId="Index1">
    <w:name w:val="index 1"/>
    <w:basedOn w:val="Normal"/>
    <w:next w:val="Normal"/>
    <w:qFormat/>
    <w:pPr>
      <w:tabs>
        <w:tab w:val="left" w:pos="3360"/>
      </w:tabs>
      <w:spacing w:line="520" w:lineRule="exact"/>
      <w:ind w:left="419" w:hanging="314" w:leftChars="50" w:hangingChars="131"/>
      <w:jc w:val="center"/>
      <w:outlineLvl w:val="3"/>
    </w:pPr>
    <w:rPr>
      <w:rFonts w:ascii="宋体" w:eastAsia="宋体" w:hAnsi="宋体" w:cs="Times New Roman"/>
      <w:sz w:val="24"/>
      <w:szCs w:val="24"/>
    </w:rPr>
  </w:style>
  <w:style w:type="paragraph" w:styleId="Title">
    <w:name w:val="Title"/>
    <w:basedOn w:val="Normal"/>
    <w:link w:val="Char15"/>
    <w:qFormat/>
    <w:pPr>
      <w:spacing w:before="240" w:after="60"/>
      <w:jc w:val="center"/>
      <w:outlineLvl w:val="0"/>
    </w:pPr>
    <w:rPr>
      <w:rFonts w:ascii="Arial" w:eastAsia="隶书" w:hAnsi="Arial" w:cs="Times New Roman"/>
      <w:b/>
      <w:bCs/>
      <w:kern w:val="0"/>
      <w:sz w:val="32"/>
      <w:szCs w:val="32"/>
    </w:rPr>
  </w:style>
  <w:style w:type="paragraph" w:styleId="CommentSubject">
    <w:name w:val="annotation subject"/>
    <w:basedOn w:val="CommentText"/>
    <w:next w:val="CommentText"/>
    <w:link w:val="Char16"/>
    <w:qFormat/>
    <w:pPr>
      <w:autoSpaceDE/>
      <w:autoSpaceDN/>
      <w:adjustRightInd/>
      <w:textAlignment w:val="auto"/>
    </w:pPr>
    <w:rPr>
      <w:rFonts w:ascii="Times New Roman" w:eastAsia="宋体" w:hAnsi="Times New Roman" w:cs="Times New Roman"/>
      <w:b/>
      <w:bCs/>
      <w:szCs w:val="24"/>
    </w:rPr>
  </w:style>
  <w:style w:type="paragraph" w:styleId="BodyTextFirstIndent">
    <w:name w:val="Body Text First Indent"/>
    <w:basedOn w:val="BodyText"/>
    <w:link w:val="Char17"/>
    <w:qFormat/>
    <w:pPr>
      <w:spacing w:after="120" w:line="240" w:lineRule="auto"/>
      <w:ind w:firstLine="420" w:firstLineChars="100"/>
    </w:pPr>
    <w:rPr>
      <w:rFonts w:ascii="Times New Roman" w:eastAsia="宋体" w:hAnsi="Times New Roman" w:cs="Times New Roman"/>
      <w:sz w:val="20"/>
    </w:rPr>
  </w:style>
  <w:style w:type="table" w:styleId="TableGrid">
    <w:name w:val="Table Grid"/>
    <w:basedOn w:val="TableNormal"/>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Pr>
      <w:rFonts w:ascii="Times New Roman" w:eastAsia="宋体" w:hAnsi="Times New Roman" w:cs="Times New Roman"/>
      <w:b/>
      <w:bCs/>
    </w:rPr>
  </w:style>
  <w:style w:type="character" w:styleId="PageNumber">
    <w:name w:val="page number"/>
    <w:basedOn w:val="DefaultParagraphFont"/>
    <w:qFormat/>
    <w:rPr>
      <w:rFonts w:ascii="Times New Roman" w:eastAsia="宋体" w:hAnsi="Times New Roman" w:cs="Times New Roman"/>
    </w:rPr>
  </w:style>
  <w:style w:type="character" w:styleId="FollowedHyperlink">
    <w:name w:val="FollowedHyperlink"/>
    <w:basedOn w:val="DefaultParagraphFont"/>
    <w:qFormat/>
    <w:rPr>
      <w:rFonts w:ascii="Times New Roman" w:eastAsia="宋体" w:hAnsi="Times New Roman" w:cs="Times New Roman"/>
      <w:color w:val="800080"/>
      <w:u w:val="single"/>
    </w:rPr>
  </w:style>
  <w:style w:type="character" w:styleId="Emphasis">
    <w:name w:val="Emphasis"/>
    <w:basedOn w:val="DefaultParagraphFont"/>
    <w:qFormat/>
    <w:rPr>
      <w:i/>
    </w:rPr>
  </w:style>
  <w:style w:type="character" w:styleId="Hyperlink">
    <w:name w:val="Hyperlink"/>
    <w:basedOn w:val="DefaultParagraphFont"/>
    <w:qFormat/>
    <w:rPr>
      <w:rFonts w:ascii="Times New Roman" w:eastAsia="宋体" w:hAnsi="Times New Roman" w:cs="Times New Roman"/>
      <w:color w:val="0000FF"/>
      <w:u w:val="single"/>
    </w:rPr>
  </w:style>
  <w:style w:type="character" w:styleId="CommentReference">
    <w:name w:val="annotation reference"/>
    <w:qFormat/>
    <w:rPr>
      <w:rFonts w:ascii="Times New Roman" w:eastAsia="宋体" w:hAnsi="Times New Roman" w:cs="Times New Roman"/>
      <w:sz w:val="21"/>
      <w:szCs w:val="21"/>
    </w:rPr>
  </w:style>
  <w:style w:type="character" w:customStyle="1" w:styleId="1Char">
    <w:name w:val="标题 1 Char"/>
    <w:basedOn w:val="DefaultParagraphFont"/>
    <w:link w:val="Heading1"/>
    <w:qFormat/>
    <w:rPr>
      <w:rFonts w:ascii="宋体" w:eastAsia="黑体" w:hAnsi="宋体" w:cs="Times New Roman"/>
      <w:b/>
      <w:bCs/>
      <w:kern w:val="44"/>
      <w:sz w:val="28"/>
      <w:szCs w:val="44"/>
    </w:rPr>
  </w:style>
  <w:style w:type="character" w:customStyle="1" w:styleId="2Char">
    <w:name w:val="标题 2 Char"/>
    <w:basedOn w:val="DefaultParagraphFont"/>
    <w:link w:val="Heading2"/>
    <w:qFormat/>
    <w:rPr>
      <w:rFonts w:ascii="宋体" w:eastAsia="宋体" w:hAnsi="宋体" w:cs="Times New Roman"/>
      <w:b/>
      <w:bCs/>
      <w:kern w:val="0"/>
      <w:sz w:val="24"/>
      <w:szCs w:val="20"/>
    </w:rPr>
  </w:style>
  <w:style w:type="character" w:customStyle="1" w:styleId="4Char">
    <w:name w:val="标题 4 Char"/>
    <w:basedOn w:val="DefaultParagraphFont"/>
    <w:link w:val="Heading4"/>
    <w:qFormat/>
    <w:rPr>
      <w:rFonts w:ascii="Arial" w:eastAsia="黑体" w:hAnsi="Arial" w:cs="Times New Roman"/>
      <w:b/>
      <w:bCs/>
      <w:kern w:val="0"/>
      <w:sz w:val="28"/>
      <w:szCs w:val="28"/>
    </w:rPr>
  </w:style>
  <w:style w:type="character" w:customStyle="1" w:styleId="3Char">
    <w:name w:val="标题 3 Char"/>
    <w:basedOn w:val="DefaultParagraphFont"/>
    <w:link w:val="Heading3"/>
    <w:qFormat/>
    <w:rPr>
      <w:rFonts w:ascii="Calibri" w:eastAsia="宋体" w:hAnsi="Calibri" w:cs="Times New Roman"/>
      <w:b/>
      <w:bCs/>
      <w:sz w:val="32"/>
      <w:szCs w:val="32"/>
    </w:rPr>
  </w:style>
  <w:style w:type="character" w:customStyle="1" w:styleId="5Char">
    <w:name w:val="标题 5 Char"/>
    <w:basedOn w:val="DefaultParagraphFont"/>
    <w:link w:val="Heading5"/>
    <w:qFormat/>
    <w:rPr>
      <w:rFonts w:ascii="Times New Roman" w:eastAsia="宋体" w:hAnsi="Times New Roman" w:cs="Times New Roman"/>
      <w:b/>
      <w:kern w:val="0"/>
      <w:sz w:val="28"/>
      <w:szCs w:val="20"/>
    </w:rPr>
  </w:style>
  <w:style w:type="character" w:customStyle="1" w:styleId="Char">
    <w:name w:val="正文缩进 Char"/>
    <w:link w:val="NormalIndent"/>
    <w:qFormat/>
    <w:rPr>
      <w:rFonts w:ascii="Times New Roman" w:eastAsia="宋体" w:hAnsi="Times New Roman" w:cs="Times New Roman"/>
      <w:kern w:val="0"/>
      <w:sz w:val="20"/>
      <w:szCs w:val="20"/>
    </w:rPr>
  </w:style>
  <w:style w:type="character" w:customStyle="1" w:styleId="6Char">
    <w:name w:val="标题 6 Char"/>
    <w:basedOn w:val="DefaultParagraphFont"/>
    <w:link w:val="Heading6"/>
    <w:qFormat/>
    <w:rPr>
      <w:rFonts w:ascii="Arial" w:eastAsia="黑体" w:hAnsi="Arial" w:cs="Times New Roman"/>
      <w:b/>
      <w:kern w:val="0"/>
      <w:sz w:val="24"/>
      <w:szCs w:val="20"/>
    </w:rPr>
  </w:style>
  <w:style w:type="character" w:customStyle="1" w:styleId="7Char">
    <w:name w:val="标题 7 Char"/>
    <w:basedOn w:val="DefaultParagraphFont"/>
    <w:link w:val="Heading7"/>
    <w:qFormat/>
    <w:rPr>
      <w:rFonts w:ascii="Times New Roman" w:eastAsia="宋体" w:hAnsi="Times New Roman" w:cs="Times New Roman"/>
      <w:b/>
      <w:kern w:val="0"/>
      <w:sz w:val="24"/>
      <w:szCs w:val="20"/>
    </w:rPr>
  </w:style>
  <w:style w:type="character" w:customStyle="1" w:styleId="8Char">
    <w:name w:val="标题 8 Char"/>
    <w:basedOn w:val="DefaultParagraphFont"/>
    <w:link w:val="Heading8"/>
    <w:qFormat/>
    <w:rPr>
      <w:rFonts w:ascii="Arial" w:eastAsia="黑体" w:hAnsi="Arial" w:cs="Times New Roman"/>
      <w:kern w:val="0"/>
      <w:sz w:val="24"/>
      <w:szCs w:val="20"/>
    </w:rPr>
  </w:style>
  <w:style w:type="character" w:customStyle="1" w:styleId="9Char">
    <w:name w:val="标题 9 Char"/>
    <w:basedOn w:val="DefaultParagraphFont"/>
    <w:link w:val="Heading9"/>
    <w:qFormat/>
    <w:rPr>
      <w:rFonts w:ascii="Arial" w:eastAsia="黑体" w:hAnsi="Arial" w:cs="Times New Roman"/>
      <w:kern w:val="0"/>
      <w:sz w:val="20"/>
      <w:szCs w:val="20"/>
    </w:rPr>
  </w:style>
  <w:style w:type="character" w:customStyle="1" w:styleId="Char1">
    <w:name w:val="文档结构图 Char1"/>
    <w:basedOn w:val="DefaultParagraphFont"/>
    <w:link w:val="DocumentMap"/>
    <w:qFormat/>
    <w:rPr>
      <w:rFonts w:ascii="宋体" w:eastAsia="宋体" w:hAnsi="Calibri" w:cs="Times New Roman"/>
      <w:sz w:val="18"/>
      <w:szCs w:val="18"/>
    </w:rPr>
  </w:style>
  <w:style w:type="character" w:customStyle="1" w:styleId="Char10">
    <w:name w:val="批注文字 Char1"/>
    <w:basedOn w:val="DefaultParagraphFont"/>
    <w:link w:val="CommentText"/>
    <w:qFormat/>
    <w:rPr>
      <w:rFonts w:ascii="Calibri" w:eastAsia="宋体" w:hAnsi="Calibri" w:cs="Times New Roman"/>
    </w:rPr>
  </w:style>
  <w:style w:type="character" w:customStyle="1" w:styleId="3Char1">
    <w:name w:val="正文文本 3 Char1"/>
    <w:basedOn w:val="DefaultParagraphFont"/>
    <w:link w:val="BodyText3"/>
    <w:rPr>
      <w:rFonts w:ascii="Calibri" w:eastAsia="宋体" w:hAnsi="Calibri" w:cs="Times New Roman"/>
      <w:sz w:val="16"/>
      <w:szCs w:val="16"/>
    </w:rPr>
  </w:style>
  <w:style w:type="character" w:customStyle="1" w:styleId="Char2">
    <w:name w:val="正文文本 Char2"/>
    <w:basedOn w:val="DefaultParagraphFont"/>
    <w:link w:val="BodyText"/>
    <w:qFormat/>
    <w:rPr>
      <w:rFonts w:ascii="Calibri" w:eastAsia="宋体" w:hAnsi="Calibri" w:cs="Times New Roman"/>
    </w:rPr>
  </w:style>
  <w:style w:type="character" w:customStyle="1" w:styleId="2Char1">
    <w:name w:val="正文文本 2 Char1"/>
    <w:basedOn w:val="DefaultParagraphFont"/>
    <w:link w:val="BodyText2"/>
    <w:qFormat/>
    <w:rPr>
      <w:rFonts w:ascii="Calibri" w:eastAsia="宋体" w:hAnsi="Calibri" w:cs="Times New Roman"/>
    </w:rPr>
  </w:style>
  <w:style w:type="character" w:customStyle="1" w:styleId="Char11">
    <w:name w:val="正文文本缩进 Char1"/>
    <w:basedOn w:val="DefaultParagraphFont"/>
    <w:link w:val="BodyTextIndent"/>
    <w:qFormat/>
    <w:rPr>
      <w:rFonts w:ascii="Calibri" w:eastAsia="宋体" w:hAnsi="Calibri" w:cs="Times New Roman"/>
    </w:rPr>
  </w:style>
  <w:style w:type="character" w:customStyle="1" w:styleId="Char12">
    <w:name w:val="纯文本 Char1"/>
    <w:basedOn w:val="DefaultParagraphFont"/>
    <w:link w:val="PlainText"/>
    <w:qFormat/>
    <w:rPr>
      <w:rFonts w:ascii="宋体" w:eastAsia="宋体" w:hAnsi="Courier New" w:cs="Courier New"/>
      <w:szCs w:val="21"/>
    </w:rPr>
  </w:style>
  <w:style w:type="character" w:customStyle="1" w:styleId="Char13">
    <w:name w:val="日期 Char1"/>
    <w:basedOn w:val="DefaultParagraphFont"/>
    <w:link w:val="Date"/>
    <w:rPr>
      <w:rFonts w:ascii="Calibri" w:eastAsia="宋体" w:hAnsi="Calibri" w:cs="Times New Roman"/>
    </w:rPr>
  </w:style>
  <w:style w:type="character" w:customStyle="1" w:styleId="2Char10">
    <w:name w:val="正文文本缩进 2 Char1"/>
    <w:basedOn w:val="DefaultParagraphFont"/>
    <w:link w:val="BodyTextIndent2"/>
    <w:qFormat/>
    <w:rPr>
      <w:rFonts w:ascii="Calibri" w:eastAsia="宋体" w:hAnsi="Calibri" w:cs="Times New Roman"/>
    </w:rPr>
  </w:style>
  <w:style w:type="character" w:customStyle="1" w:styleId="Char14">
    <w:name w:val="批注框文本 Char1"/>
    <w:basedOn w:val="DefaultParagraphFont"/>
    <w:link w:val="BalloonText"/>
    <w:rPr>
      <w:rFonts w:ascii="Calibri" w:eastAsia="宋体" w:hAnsi="Calibri" w:cs="Times New Roman"/>
      <w:sz w:val="18"/>
      <w:szCs w:val="18"/>
    </w:rPr>
  </w:style>
  <w:style w:type="character" w:customStyle="1" w:styleId="Char0">
    <w:name w:val="页脚 Char"/>
    <w:basedOn w:val="DefaultParagraphFont"/>
    <w:link w:val="Footer"/>
    <w:qFormat/>
    <w:rPr>
      <w:rFonts w:ascii="Times New Roman" w:eastAsia="宋体" w:hAnsi="Times New Roman" w:cs="Times New Roman"/>
      <w:sz w:val="18"/>
      <w:szCs w:val="18"/>
    </w:rPr>
  </w:style>
  <w:style w:type="character" w:customStyle="1" w:styleId="Char3">
    <w:name w:val="页眉 Char"/>
    <w:basedOn w:val="DefaultParagraphFont"/>
    <w:link w:val="Header"/>
    <w:qFormat/>
    <w:rPr>
      <w:rFonts w:ascii="Times New Roman" w:eastAsia="宋体" w:hAnsi="Times New Roman" w:cs="Times New Roman"/>
      <w:sz w:val="18"/>
      <w:szCs w:val="18"/>
    </w:rPr>
  </w:style>
  <w:style w:type="character" w:customStyle="1" w:styleId="3Char10">
    <w:name w:val="正文文本缩进 3 Char1"/>
    <w:basedOn w:val="DefaultParagraphFont"/>
    <w:link w:val="BodyTextIndent3"/>
    <w:qFormat/>
    <w:rPr>
      <w:rFonts w:ascii="Calibri" w:eastAsia="宋体" w:hAnsi="Calibri" w:cs="Times New Roman"/>
      <w:sz w:val="16"/>
      <w:szCs w:val="16"/>
    </w:rPr>
  </w:style>
  <w:style w:type="character" w:customStyle="1" w:styleId="HTMLChar1">
    <w:name w:val="HTML 预设格式 Char1"/>
    <w:basedOn w:val="DefaultParagraphFont"/>
    <w:link w:val="HTMLPreformatted"/>
    <w:qFormat/>
    <w:rPr>
      <w:rFonts w:ascii="Courier New" w:eastAsia="宋体" w:hAnsi="Courier New" w:cs="Courier New"/>
      <w:sz w:val="20"/>
      <w:szCs w:val="20"/>
    </w:rPr>
  </w:style>
  <w:style w:type="character" w:customStyle="1" w:styleId="Char15">
    <w:name w:val="标题 Char1"/>
    <w:basedOn w:val="DefaultParagraphFont"/>
    <w:link w:val="Title"/>
    <w:qFormat/>
    <w:rPr>
      <w:rFonts w:ascii="Cambria" w:eastAsia="宋体" w:hAnsi="Cambria" w:cs="Times New Roman"/>
      <w:b/>
      <w:bCs/>
      <w:sz w:val="32"/>
      <w:szCs w:val="32"/>
    </w:rPr>
  </w:style>
  <w:style w:type="character" w:customStyle="1" w:styleId="Char16">
    <w:name w:val="批注主题 Char1"/>
    <w:basedOn w:val="Char10"/>
    <w:link w:val="CommentSubject"/>
    <w:qFormat/>
    <w:rPr>
      <w:rFonts w:ascii="Times New Roman" w:eastAsia="宋体" w:hAnsi="Times New Roman" w:cs="Times New Roman"/>
      <w:b/>
      <w:bCs/>
    </w:rPr>
  </w:style>
  <w:style w:type="character" w:customStyle="1" w:styleId="Char17">
    <w:name w:val="正文首行缩进 Char1"/>
    <w:basedOn w:val="Char2"/>
    <w:link w:val="BodyTextFirstIndent"/>
    <w:qFormat/>
    <w:rPr>
      <w:rFonts w:ascii="Times New Roman" w:eastAsia="宋体" w:hAnsi="Times New Roman" w:cs="Times New Roman"/>
    </w:rPr>
  </w:style>
  <w:style w:type="character" w:customStyle="1" w:styleId="3Char11">
    <w:name w:val="标题 3 Char1"/>
    <w:link w:val="Heading3"/>
    <w:qFormat/>
    <w:rPr>
      <w:rFonts w:ascii="宋体" w:eastAsia="宋体" w:hAnsi="宋体" w:cs="Times New Roman"/>
      <w:b/>
      <w:bCs/>
      <w:kern w:val="0"/>
      <w:sz w:val="28"/>
      <w:szCs w:val="32"/>
    </w:rPr>
  </w:style>
  <w:style w:type="paragraph" w:customStyle="1" w:styleId="p9">
    <w:name w:val="p9"/>
    <w:basedOn w:val="Normal"/>
    <w:qFormat/>
    <w:pPr>
      <w:widowControl/>
      <w:spacing w:before="100" w:beforeAutospacing="1" w:after="100" w:afterAutospacing="1"/>
      <w:jc w:val="left"/>
    </w:pPr>
    <w:rPr>
      <w:rFonts w:ascii="Calibri" w:eastAsia="Arial Unicode MS" w:hAnsi="Calibri" w:cs="Arial Unicode MS"/>
      <w:color w:val="000000"/>
      <w:kern w:val="0"/>
      <w:sz w:val="18"/>
      <w:szCs w:val="18"/>
    </w:rPr>
  </w:style>
  <w:style w:type="paragraph" w:customStyle="1" w:styleId="null3">
    <w:name w:val="null3"/>
    <w:qFormat/>
    <w:rPr>
      <w:rFonts w:ascii="Calibri" w:eastAsia="宋体" w:hAnsi="Calibri" w:cs="Times New Roman" w:hint="eastAsia"/>
      <w:lang w:val="en-US" w:bidi="ar-SA"/>
    </w:rPr>
  </w:style>
  <w:style w:type="table" w:customStyle="1" w:styleId="1">
    <w:name w:val="网格型1"/>
    <w:basedOn w:val="TableNormal"/>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pPr>
      <w:widowControl w:val="0"/>
      <w:jc w:val="both"/>
    </w:pPr>
    <w:rPr>
      <w:rFonts w:ascii="Calibri" w:eastAsia="宋体" w:hAnsi="Calibri" w:cs="Times New Roman"/>
      <w:kern w:val="2"/>
      <w:sz w:val="21"/>
      <w:szCs w:val="22"/>
      <w:lang w:val="en-US" w:eastAsia="zh-CN" w:bidi="ar-SA"/>
    </w:rPr>
  </w:style>
  <w:style w:type="character" w:customStyle="1" w:styleId="Char18">
    <w:name w:val="正文缩进 Char1"/>
    <w:qFormat/>
    <w:rPr>
      <w:rFonts w:ascii="Times New Roman" w:eastAsia="宋体" w:hAnsi="Times New Roman" w:cs="Times New Roman"/>
      <w:kern w:val="2"/>
      <w:sz w:val="21"/>
      <w:lang w:val="en-US" w:eastAsia="zh-CN" w:bidi="ar-SA"/>
    </w:rPr>
  </w:style>
  <w:style w:type="character" w:customStyle="1" w:styleId="Char4">
    <w:name w:val="纯文本 Char"/>
    <w:basedOn w:val="DefaultParagraphFont"/>
    <w:qFormat/>
    <w:rPr>
      <w:rFonts w:ascii="宋体" w:eastAsia="宋体" w:hAnsi="Courier New" w:cs="Times New Roman"/>
      <w:kern w:val="0"/>
      <w:sz w:val="20"/>
      <w:szCs w:val="20"/>
    </w:rPr>
  </w:style>
  <w:style w:type="character" w:customStyle="1" w:styleId="style9">
    <w:name w:val="style9"/>
    <w:basedOn w:val="DefaultParagraphFont"/>
    <w:qFormat/>
    <w:rPr>
      <w:rFonts w:ascii="Times New Roman" w:eastAsia="宋体" w:hAnsi="Times New Roman" w:cs="Times New Roman"/>
    </w:rPr>
  </w:style>
  <w:style w:type="character" w:customStyle="1" w:styleId="z-Char">
    <w:name w:val="z-窗体顶端 Char"/>
    <w:basedOn w:val="DefaultParagraphFont"/>
    <w:qFormat/>
    <w:rPr>
      <w:rFonts w:ascii="Arial" w:eastAsia="宋体" w:hAnsi="Arial" w:cs="Times New Roman"/>
      <w:vanish/>
      <w:kern w:val="0"/>
      <w:sz w:val="16"/>
      <w:szCs w:val="16"/>
      <w:lang w:val="en-US" w:eastAsia="zh-CN"/>
    </w:rPr>
  </w:style>
  <w:style w:type="character" w:customStyle="1" w:styleId="Char5">
    <w:name w:val="标题 Char"/>
    <w:basedOn w:val="DefaultParagraphFont"/>
    <w:qFormat/>
    <w:rPr>
      <w:rFonts w:ascii="Arial" w:eastAsia="隶书" w:hAnsi="Arial" w:cs="Times New Roman"/>
      <w:b/>
      <w:bCs/>
      <w:kern w:val="0"/>
      <w:sz w:val="32"/>
      <w:szCs w:val="32"/>
    </w:rPr>
  </w:style>
  <w:style w:type="character" w:customStyle="1" w:styleId="prodheadlines">
    <w:name w:val="prodheadlines"/>
    <w:basedOn w:val="DefaultParagraphFont"/>
    <w:qFormat/>
    <w:rPr>
      <w:rFonts w:ascii="Times New Roman" w:eastAsia="宋体" w:hAnsi="Times New Roman" w:cs="Times New Roman"/>
    </w:rPr>
  </w:style>
  <w:style w:type="character" w:customStyle="1" w:styleId="Char6">
    <w:name w:val="批注框文本 Char"/>
    <w:basedOn w:val="DefaultParagraphFont"/>
    <w:qFormat/>
    <w:rPr>
      <w:rFonts w:ascii="Times New Roman" w:eastAsia="宋体" w:hAnsi="Times New Roman" w:cs="Times New Roman"/>
      <w:kern w:val="0"/>
      <w:sz w:val="18"/>
      <w:szCs w:val="18"/>
    </w:rPr>
  </w:style>
  <w:style w:type="character" w:customStyle="1" w:styleId="text">
    <w:name w:val="text"/>
    <w:basedOn w:val="DefaultParagraphFont"/>
    <w:qFormat/>
    <w:rPr>
      <w:rFonts w:ascii="Times New Roman" w:eastAsia="宋体" w:hAnsi="Times New Roman" w:cs="Times New Roman"/>
    </w:rPr>
  </w:style>
  <w:style w:type="character" w:customStyle="1" w:styleId="Char7">
    <w:name w:val="正文文本缩进 Char"/>
    <w:basedOn w:val="DefaultParagraphFont"/>
    <w:qFormat/>
    <w:rPr>
      <w:rFonts w:ascii="Times New Roman" w:eastAsia="宋体" w:hAnsi="Times New Roman" w:cs="Times New Roman"/>
      <w:kern w:val="0"/>
      <w:sz w:val="20"/>
      <w:szCs w:val="24"/>
    </w:rPr>
  </w:style>
  <w:style w:type="paragraph" w:customStyle="1" w:styleId="z-1">
    <w:name w:val="z-窗体底端1"/>
    <w:basedOn w:val="Normal"/>
    <w:next w:val="Normal"/>
    <w:link w:val="z-Char1"/>
    <w:qFormat/>
    <w:pPr>
      <w:widowControl/>
      <w:pBdr>
        <w:top w:val="single" w:sz="6" w:space="1" w:color="auto"/>
      </w:pBdr>
      <w:jc w:val="center"/>
    </w:pPr>
    <w:rPr>
      <w:rFonts w:ascii="Arial" w:eastAsia="宋体" w:hAnsi="Arial" w:cs="Times New Roman"/>
      <w:vanish/>
      <w:kern w:val="0"/>
      <w:sz w:val="16"/>
      <w:szCs w:val="16"/>
    </w:rPr>
  </w:style>
  <w:style w:type="character" w:customStyle="1" w:styleId="z-Char1">
    <w:name w:val="z-窗体底端 Char1"/>
    <w:basedOn w:val="DefaultParagraphFont"/>
    <w:link w:val="z-1"/>
    <w:rPr>
      <w:rFonts w:ascii="Arial" w:eastAsia="宋体" w:hAnsi="Arial" w:cs="Arial"/>
      <w:vanish/>
      <w:sz w:val="16"/>
      <w:szCs w:val="16"/>
    </w:rPr>
  </w:style>
  <w:style w:type="character" w:customStyle="1" w:styleId="proddescription">
    <w:name w:val="proddescription"/>
    <w:basedOn w:val="DefaultParagraphFont"/>
    <w:rPr>
      <w:rFonts w:ascii="Times New Roman" w:eastAsia="宋体" w:hAnsi="Times New Roman" w:cs="Times New Roman"/>
    </w:rPr>
  </w:style>
  <w:style w:type="character" w:customStyle="1" w:styleId="Char8">
    <w:name w:val="第*章 Char"/>
    <w:rPr>
      <w:rFonts w:ascii="Arial" w:eastAsia="黑体" w:hAnsi="Arial" w:cs="Times New Roman"/>
      <w:b/>
      <w:bCs/>
      <w:kern w:val="2"/>
      <w:sz w:val="32"/>
      <w:szCs w:val="32"/>
    </w:rPr>
  </w:style>
  <w:style w:type="character" w:customStyle="1" w:styleId="NormalCharacter">
    <w:name w:val="NormalCharacter"/>
    <w:qFormat/>
    <w:rPr>
      <w:rFonts w:ascii="Calibri" w:eastAsia="宋体" w:hAnsi="Calibri" w:cs="Times New Roman"/>
      <w:lang w:val="en-US" w:eastAsia="zh-CN" w:bidi="ar-SA"/>
    </w:rPr>
  </w:style>
  <w:style w:type="character" w:customStyle="1" w:styleId="3Char0">
    <w:name w:val="正文文本 3 Char"/>
    <w:basedOn w:val="DefaultParagraphFont"/>
    <w:qFormat/>
    <w:rPr>
      <w:rFonts w:ascii="Times New Roman" w:eastAsia="宋体" w:hAnsi="Times New Roman" w:cs="Times New Roman"/>
      <w:kern w:val="0"/>
      <w:sz w:val="16"/>
      <w:szCs w:val="16"/>
    </w:rPr>
  </w:style>
  <w:style w:type="character" w:customStyle="1" w:styleId="unnamed4">
    <w:name w:val="unnamed4"/>
    <w:basedOn w:val="DefaultParagraphFont"/>
    <w:qFormat/>
    <w:rPr>
      <w:rFonts w:ascii="Times New Roman" w:eastAsia="宋体" w:hAnsi="Times New Roman" w:cs="Times New Roman"/>
    </w:rPr>
  </w:style>
  <w:style w:type="character" w:customStyle="1" w:styleId="Char9">
    <w:name w:val="正文文本 Char"/>
    <w:basedOn w:val="DefaultParagraphFont"/>
    <w:rPr>
      <w:rFonts w:ascii="Calibri" w:eastAsia="宋体" w:hAnsi="Calibri" w:cs="Times New Roman"/>
    </w:rPr>
  </w:style>
  <w:style w:type="character" w:customStyle="1" w:styleId="gray6">
    <w:name w:val="gray6"/>
    <w:basedOn w:val="DefaultParagraphFont"/>
    <w:qFormat/>
    <w:rPr>
      <w:rFonts w:ascii="Times New Roman" w:eastAsia="宋体" w:hAnsi="Times New Roman" w:cs="Times New Roman"/>
    </w:rPr>
  </w:style>
  <w:style w:type="character" w:customStyle="1" w:styleId="font">
    <w:name w:val="font"/>
    <w:basedOn w:val="DefaultParagraphFont"/>
    <w:rPr>
      <w:rFonts w:ascii="Times New Roman" w:eastAsia="宋体" w:hAnsi="Times New Roman" w:cs="Times New Roman"/>
    </w:rPr>
  </w:style>
  <w:style w:type="character" w:customStyle="1" w:styleId="Char19">
    <w:name w:val="正文文本 Char1"/>
    <w:qFormat/>
    <w:rPr>
      <w:rFonts w:ascii="Times New Roman" w:eastAsia="宋体" w:hAnsi="Times New Roman" w:cs="Times New Roman"/>
      <w:b/>
      <w:bCs/>
      <w:kern w:val="0"/>
      <w:sz w:val="24"/>
      <w:szCs w:val="24"/>
    </w:rPr>
  </w:style>
  <w:style w:type="character" w:customStyle="1" w:styleId="alt-edited1">
    <w:name w:val="alt-edited1"/>
    <w:rPr>
      <w:rFonts w:ascii="Times New Roman" w:eastAsia="宋体" w:hAnsi="Times New Roman" w:cs="Times New Roman"/>
      <w:color w:val="4D90F0"/>
    </w:rPr>
  </w:style>
  <w:style w:type="paragraph" w:customStyle="1" w:styleId="a">
    <w:name w:val="缩进正文"/>
    <w:basedOn w:val="Normal"/>
    <w:link w:val="Char20"/>
    <w:qFormat/>
    <w:pPr>
      <w:ind w:firstLine="560" w:firstLineChars="200"/>
    </w:pPr>
    <w:rPr>
      <w:rFonts w:ascii="Times New Roman" w:eastAsia="仿宋_GB2312" w:hAnsi="Times New Roman" w:cs="Times New Roman"/>
      <w:kern w:val="0"/>
      <w:sz w:val="28"/>
      <w:szCs w:val="20"/>
    </w:rPr>
  </w:style>
  <w:style w:type="character" w:customStyle="1" w:styleId="Char20">
    <w:name w:val="缩进正文 Char"/>
    <w:link w:val="a"/>
    <w:qFormat/>
    <w:rPr>
      <w:rFonts w:ascii="Times New Roman" w:eastAsia="仿宋_GB2312" w:hAnsi="Times New Roman" w:cs="Times New Roman"/>
      <w:kern w:val="0"/>
      <w:sz w:val="28"/>
      <w:szCs w:val="20"/>
    </w:rPr>
  </w:style>
  <w:style w:type="character" w:customStyle="1" w:styleId="grame">
    <w:name w:val="grame"/>
    <w:basedOn w:val="DefaultParagraphFont"/>
    <w:qFormat/>
    <w:rPr>
      <w:rFonts w:ascii="Times New Roman" w:eastAsia="宋体" w:hAnsi="Times New Roman" w:cs="Times New Roman"/>
    </w:rPr>
  </w:style>
  <w:style w:type="character" w:customStyle="1" w:styleId="--CharChar">
    <w:name w:val="--规划正文 Char Char"/>
    <w:qFormat/>
    <w:rPr>
      <w:rFonts w:ascii="Times New Roman" w:eastAsia="宋体" w:hAnsi="Times New Roman" w:cs="Times New Roman"/>
      <w:kern w:val="2"/>
      <w:sz w:val="24"/>
      <w:szCs w:val="24"/>
      <w:lang w:val="en-US" w:eastAsia="zh-CN" w:bidi="ar-SA"/>
    </w:rPr>
  </w:style>
  <w:style w:type="character" w:customStyle="1" w:styleId="1Char0">
    <w:name w:val="章标题1 Char"/>
    <w:qFormat/>
    <w:rPr>
      <w:rFonts w:ascii="Times New Roman" w:eastAsia="宋体" w:hAnsi="Times New Roman" w:cs="Times New Roman"/>
      <w:b/>
      <w:bCs/>
      <w:kern w:val="2"/>
      <w:sz w:val="32"/>
      <w:szCs w:val="32"/>
      <w:lang w:val="en-US" w:eastAsia="zh-CN" w:bidi="ar-SA"/>
    </w:rPr>
  </w:style>
  <w:style w:type="character" w:customStyle="1" w:styleId="font2">
    <w:name w:val="font2"/>
    <w:basedOn w:val="DefaultParagraphFont"/>
    <w:rPr>
      <w:rFonts w:ascii="Times New Roman" w:eastAsia="宋体" w:hAnsi="Times New Roman" w:cs="Times New Roman"/>
    </w:rPr>
  </w:style>
  <w:style w:type="paragraph" w:customStyle="1" w:styleId="10">
    <w:name w:val="列出段落1"/>
    <w:basedOn w:val="Normal"/>
    <w:link w:val="a0"/>
    <w:qFormat/>
    <w:pPr>
      <w:ind w:firstLine="420" w:firstLineChars="200"/>
    </w:pPr>
    <w:rPr>
      <w:rFonts w:ascii="Times New Roman" w:eastAsia="宋体" w:hAnsi="Times New Roman" w:cs="Calibri"/>
      <w:szCs w:val="21"/>
    </w:rPr>
  </w:style>
  <w:style w:type="character" w:customStyle="1" w:styleId="a0">
    <w:name w:val="列表段落 字符"/>
    <w:link w:val="10"/>
    <w:rPr>
      <w:rFonts w:ascii="Calibri" w:eastAsia="宋体" w:hAnsi="Calibri" w:cs="Calibri"/>
      <w:szCs w:val="21"/>
    </w:rPr>
  </w:style>
  <w:style w:type="character" w:customStyle="1" w:styleId="2Char0">
    <w:name w:val="正文文本 2 Char"/>
    <w:basedOn w:val="DefaultParagraphFont"/>
    <w:qFormat/>
    <w:rPr>
      <w:rFonts w:ascii="Times New Roman" w:eastAsia="宋体" w:hAnsi="Times New Roman" w:cs="Times New Roman"/>
      <w:kern w:val="0"/>
      <w:sz w:val="24"/>
      <w:szCs w:val="24"/>
    </w:rPr>
  </w:style>
  <w:style w:type="character" w:customStyle="1" w:styleId="Char21">
    <w:name w:val="批注文字 Char"/>
    <w:basedOn w:val="DefaultParagraphFont"/>
    <w:rPr>
      <w:rFonts w:ascii="宋体" w:eastAsia="宋体" w:hAnsi="Times New Roman" w:cs="Times New Roman"/>
      <w:kern w:val="0"/>
      <w:sz w:val="34"/>
      <w:szCs w:val="20"/>
    </w:rPr>
  </w:style>
  <w:style w:type="character" w:customStyle="1" w:styleId="mode">
    <w:name w:val="mode"/>
    <w:basedOn w:val="DefaultParagraphFont"/>
    <w:rPr>
      <w:rFonts w:ascii="Times New Roman" w:eastAsia="宋体" w:hAnsi="Times New Roman" w:cs="Times New Roman"/>
    </w:rPr>
  </w:style>
  <w:style w:type="character" w:customStyle="1" w:styleId="2Char2">
    <w:name w:val="正文文本缩进 2 Char"/>
    <w:basedOn w:val="DefaultParagraphFont"/>
    <w:rPr>
      <w:rFonts w:ascii="宋体" w:eastAsia="宋体" w:hAnsi="宋体" w:cs="Times New Roman"/>
      <w:kern w:val="0"/>
      <w:sz w:val="20"/>
      <w:szCs w:val="24"/>
    </w:rPr>
  </w:style>
  <w:style w:type="character" w:customStyle="1" w:styleId="Char22">
    <w:name w:val="日期 Char"/>
    <w:basedOn w:val="DefaultParagraphFont"/>
    <w:rPr>
      <w:rFonts w:ascii="宋体" w:eastAsia="宋体" w:hAnsi="Courier New" w:cs="Times New Roman"/>
      <w:kern w:val="0"/>
      <w:sz w:val="32"/>
      <w:szCs w:val="20"/>
    </w:rPr>
  </w:style>
  <w:style w:type="character" w:customStyle="1" w:styleId="font41">
    <w:name w:val="font41"/>
    <w:rPr>
      <w:rFonts w:ascii="Times New Roman" w:eastAsia="宋体" w:hAnsi="Times New Roman" w:cs="Times New Roman"/>
      <w:color w:val="000000"/>
      <w:spacing w:val="260"/>
      <w:sz w:val="18"/>
      <w:szCs w:val="18"/>
      <w:u w:val="none"/>
    </w:rPr>
  </w:style>
  <w:style w:type="character" w:customStyle="1" w:styleId="H4Char2">
    <w:name w:val="H4 Char2"/>
    <w:qFormat/>
    <w:rPr>
      <w:rFonts w:ascii="Arial" w:eastAsia="黑体" w:hAnsi="Arial" w:cs="Times New Roman"/>
      <w:b/>
      <w:bCs/>
      <w:kern w:val="2"/>
      <w:sz w:val="28"/>
      <w:szCs w:val="28"/>
      <w:lang w:val="en-US" w:eastAsia="zh-CN" w:bidi="ar-SA"/>
    </w:rPr>
  </w:style>
  <w:style w:type="character" w:customStyle="1" w:styleId="3CharChar">
    <w:name w:val="标题 3 Char Char"/>
    <w:qFormat/>
    <w:rPr>
      <w:rFonts w:ascii="Times New Roman" w:eastAsia="宋体" w:hAnsi="Times New Roman" w:cs="Times New Roman"/>
      <w:b/>
      <w:bCs/>
      <w:kern w:val="2"/>
      <w:sz w:val="32"/>
      <w:szCs w:val="32"/>
      <w:lang w:val="en-US" w:eastAsia="zh-CN" w:bidi="ar-SA"/>
    </w:rPr>
  </w:style>
  <w:style w:type="character" w:customStyle="1" w:styleId="Char23">
    <w:name w:val="正文首行缩进 Char"/>
    <w:basedOn w:val="Char9"/>
    <w:qFormat/>
    <w:rPr>
      <w:rFonts w:ascii="Times New Roman" w:eastAsia="宋体" w:hAnsi="Times New Roman" w:cs="Times New Roman"/>
      <w:b/>
      <w:bCs/>
      <w:kern w:val="0"/>
      <w:sz w:val="20"/>
      <w:szCs w:val="24"/>
      <w:lang w:val="en-US" w:eastAsia="zh-CN"/>
    </w:rPr>
  </w:style>
  <w:style w:type="character" w:customStyle="1" w:styleId="blue">
    <w:name w:val="blue"/>
    <w:basedOn w:val="DefaultParagraphFont"/>
    <w:qFormat/>
    <w:rPr>
      <w:rFonts w:ascii="Times New Roman" w:eastAsia="宋体" w:hAnsi="Times New Roman" w:cs="Times New Roman"/>
    </w:rPr>
  </w:style>
  <w:style w:type="paragraph" w:customStyle="1" w:styleId="z-10">
    <w:name w:val="z-窗体顶端1"/>
    <w:basedOn w:val="Normal"/>
    <w:next w:val="Normal"/>
    <w:link w:val="z-Char10"/>
    <w:qFormat/>
    <w:pPr>
      <w:widowControl/>
      <w:pBdr>
        <w:bottom w:val="single" w:sz="6" w:space="1" w:color="auto"/>
      </w:pBdr>
      <w:jc w:val="center"/>
    </w:pPr>
    <w:rPr>
      <w:rFonts w:ascii="Arial" w:eastAsia="宋体" w:hAnsi="Arial" w:cs="Times New Roman"/>
      <w:vanish/>
      <w:kern w:val="0"/>
      <w:sz w:val="16"/>
      <w:szCs w:val="16"/>
    </w:rPr>
  </w:style>
  <w:style w:type="character" w:customStyle="1" w:styleId="z-Char10">
    <w:name w:val="z-窗体顶端 Char1"/>
    <w:basedOn w:val="DefaultParagraphFont"/>
    <w:link w:val="z-10"/>
    <w:qFormat/>
    <w:rPr>
      <w:rFonts w:ascii="Arial" w:eastAsia="宋体" w:hAnsi="Arial" w:cs="Arial"/>
      <w:vanish/>
      <w:sz w:val="16"/>
      <w:szCs w:val="16"/>
    </w:rPr>
  </w:style>
  <w:style w:type="character" w:customStyle="1" w:styleId="3Char2">
    <w:name w:val="正文文本缩进 3 Char"/>
    <w:basedOn w:val="DefaultParagraphFont"/>
    <w:qFormat/>
    <w:rPr>
      <w:rFonts w:ascii="宋体" w:eastAsia="宋体" w:hAnsi="Times New Roman" w:cs="Times New Roman"/>
      <w:b/>
      <w:bCs/>
      <w:kern w:val="0"/>
      <w:sz w:val="24"/>
      <w:szCs w:val="24"/>
    </w:rPr>
  </w:style>
  <w:style w:type="character" w:customStyle="1" w:styleId="Char24">
    <w:name w:val="正文文字首行缩进 Char"/>
    <w:qFormat/>
    <w:rPr>
      <w:rFonts w:ascii="Times New Roman" w:eastAsia="宋体" w:hAnsi="Times New Roman" w:cs="Times New Roman"/>
      <w:kern w:val="2"/>
      <w:sz w:val="21"/>
      <w:szCs w:val="24"/>
    </w:rPr>
  </w:style>
  <w:style w:type="character" w:customStyle="1" w:styleId="a1">
    <w:name w:val="样式 小三 加粗"/>
    <w:qFormat/>
    <w:rPr>
      <w:rFonts w:ascii="Times New Roman" w:eastAsia="宋体" w:hAnsi="Times New Roman" w:cs="Times New Roman"/>
      <w:b/>
      <w:bCs/>
      <w:sz w:val="32"/>
    </w:rPr>
  </w:style>
  <w:style w:type="character" w:customStyle="1" w:styleId="font31">
    <w:name w:val="font31"/>
    <w:basedOn w:val="DefaultParagraphFont"/>
    <w:qFormat/>
    <w:rPr>
      <w:rFonts w:ascii="Times New Roman" w:eastAsia="宋体" w:hAnsi="Times New Roman" w:cs="Times New Roman" w:hint="default"/>
      <w:color w:val="000000"/>
      <w:sz w:val="21"/>
      <w:szCs w:val="21"/>
      <w:u w:val="none"/>
    </w:rPr>
  </w:style>
  <w:style w:type="character" w:customStyle="1" w:styleId="font11">
    <w:name w:val="font11"/>
    <w:qFormat/>
    <w:rPr>
      <w:rFonts w:ascii="ˎ̥" w:eastAsia="宋体" w:hAnsi="ˎ̥" w:cs="Times New Roman" w:hint="default"/>
    </w:rPr>
  </w:style>
  <w:style w:type="character" w:customStyle="1" w:styleId="--Char1">
    <w:name w:val="--规划正文 Char1"/>
    <w:qFormat/>
    <w:rPr>
      <w:rFonts w:ascii="Times New Roman" w:eastAsia="宋体" w:hAnsi="Times New Roman" w:cs="Times New Roman"/>
      <w:kern w:val="2"/>
      <w:sz w:val="21"/>
      <w:lang w:val="en-US" w:eastAsia="zh-CN" w:bidi="ar-SA"/>
    </w:rPr>
  </w:style>
  <w:style w:type="character" w:customStyle="1" w:styleId="bodytextChar1">
    <w:name w:val="body text Char1"/>
    <w:qFormat/>
    <w:rPr>
      <w:rFonts w:ascii="Times New Roman" w:eastAsia="宋体" w:hAnsi="Times New Roman" w:cs="Times New Roman"/>
      <w:kern w:val="2"/>
      <w:sz w:val="21"/>
      <w:lang w:val="en-US" w:eastAsia="zh-CN" w:bidi="ar-SA"/>
    </w:rPr>
  </w:style>
  <w:style w:type="character" w:customStyle="1" w:styleId="Char25">
    <w:name w:val="文档结构图 Char"/>
    <w:basedOn w:val="DefaultParagraphFont"/>
    <w:qFormat/>
    <w:rPr>
      <w:rFonts w:ascii="Times New Roman" w:eastAsia="宋体" w:hAnsi="Times New Roman" w:cs="Times New Roman"/>
      <w:kern w:val="0"/>
      <w:sz w:val="20"/>
      <w:szCs w:val="24"/>
      <w:shd w:val="clear" w:color="auto" w:fill="000080"/>
    </w:rPr>
  </w:style>
  <w:style w:type="character" w:customStyle="1" w:styleId="info4">
    <w:name w:val="info4"/>
    <w:basedOn w:val="DefaultParagraphFont"/>
    <w:qFormat/>
    <w:rPr>
      <w:rFonts w:ascii="Times New Roman" w:eastAsia="宋体" w:hAnsi="Times New Roman" w:cs="Times New Roman"/>
    </w:rPr>
  </w:style>
  <w:style w:type="character" w:customStyle="1" w:styleId="HTMLChar">
    <w:name w:val="HTML 预设格式 Char"/>
    <w:basedOn w:val="DefaultParagraphFont"/>
    <w:qFormat/>
    <w:rPr>
      <w:rFonts w:ascii="Arial Unicode MS" w:eastAsia="Arial Unicode MS" w:hAnsi="Arial Unicode MS" w:cs="Times New Roman"/>
      <w:color w:val="000000"/>
      <w:kern w:val="0"/>
      <w:sz w:val="20"/>
      <w:szCs w:val="20"/>
    </w:rPr>
  </w:style>
  <w:style w:type="character" w:customStyle="1" w:styleId="content1">
    <w:name w:val="content1"/>
    <w:qFormat/>
    <w:rPr>
      <w:rFonts w:ascii="??" w:eastAsia="宋体" w:hAnsi="??" w:cs="Times New Roman" w:hint="default"/>
      <w:sz w:val="16"/>
      <w:szCs w:val="16"/>
      <w:u w:val="none"/>
    </w:rPr>
  </w:style>
  <w:style w:type="character" w:customStyle="1" w:styleId="unnamed3">
    <w:name w:val="unnamed3"/>
    <w:basedOn w:val="DefaultParagraphFont"/>
    <w:qFormat/>
    <w:rPr>
      <w:rFonts w:ascii="Times New Roman" w:eastAsia="宋体" w:hAnsi="Times New Roman" w:cs="Times New Roman"/>
    </w:rPr>
  </w:style>
  <w:style w:type="character" w:customStyle="1" w:styleId="Char26">
    <w:name w:val="批注主题 Char"/>
    <w:basedOn w:val="Char21"/>
    <w:qFormat/>
    <w:rPr>
      <w:rFonts w:ascii="Times New Roman" w:eastAsia="宋体" w:hAnsi="Times New Roman" w:cs="Times New Roman"/>
      <w:b/>
      <w:bCs/>
      <w:szCs w:val="24"/>
    </w:rPr>
  </w:style>
  <w:style w:type="character" w:customStyle="1" w:styleId="z-Char0">
    <w:name w:val="z-窗体底端 Char"/>
    <w:basedOn w:val="DefaultParagraphFont"/>
    <w:qFormat/>
    <w:rPr>
      <w:rFonts w:ascii="Arial" w:eastAsia="宋体" w:hAnsi="Arial" w:cs="Times New Roman"/>
      <w:vanish/>
      <w:kern w:val="0"/>
      <w:sz w:val="16"/>
      <w:szCs w:val="16"/>
      <w:lang w:val="en-US" w:eastAsia="zh-CN"/>
    </w:rPr>
  </w:style>
  <w:style w:type="paragraph" w:customStyle="1" w:styleId="style2">
    <w:name w:val="style2"/>
    <w:basedOn w:val="Normal"/>
    <w:qFormat/>
    <w:pPr>
      <w:widowControl/>
      <w:spacing w:before="100" w:beforeAutospacing="1" w:after="100" w:afterAutospacing="1"/>
      <w:jc w:val="left"/>
    </w:pPr>
    <w:rPr>
      <w:rFonts w:ascii="宋体" w:eastAsia="宋体" w:hAnsi="宋体" w:cs="宋体"/>
      <w:kern w:val="0"/>
      <w:sz w:val="18"/>
      <w:szCs w:val="18"/>
    </w:rPr>
  </w:style>
  <w:style w:type="paragraph" w:customStyle="1" w:styleId="a2">
    <w:name w:val="列表项目"/>
    <w:basedOn w:val="Normal"/>
    <w:qFormat/>
    <w:pPr>
      <w:tabs>
        <w:tab w:val="left" w:pos="420"/>
        <w:tab w:val="left" w:pos="1080"/>
      </w:tabs>
      <w:spacing w:line="288" w:lineRule="auto"/>
      <w:ind w:left="1080" w:hanging="360"/>
    </w:pPr>
    <w:rPr>
      <w:rFonts w:ascii="Times New Roman" w:eastAsia="宋体" w:hAnsi="Times New Roman" w:cs="Times New Roman"/>
      <w:sz w:val="24"/>
      <w:szCs w:val="20"/>
    </w:rPr>
  </w:style>
  <w:style w:type="paragraph" w:customStyle="1" w:styleId="11">
    <w:name w:val="编号1"/>
    <w:basedOn w:val="Normal"/>
    <w:qFormat/>
    <w:pPr>
      <w:tabs>
        <w:tab w:val="left" w:pos="360"/>
      </w:tabs>
      <w:adjustRightInd w:val="0"/>
      <w:spacing w:line="300" w:lineRule="auto"/>
      <w:ind w:left="360" w:right="210" w:hanging="360"/>
      <w:textAlignment w:val="center"/>
    </w:pPr>
    <w:rPr>
      <w:rFonts w:ascii="宋体" w:eastAsia="宋体" w:hAnsi="宋体" w:cs="Times New Roman"/>
      <w:snapToGrid w:val="0"/>
      <w:spacing w:val="10"/>
      <w:kern w:val="24"/>
      <w:szCs w:val="24"/>
    </w:rPr>
  </w:style>
  <w:style w:type="paragraph" w:customStyle="1" w:styleId="a3">
    <w:name w:val="正文(缩进) 五号"/>
    <w:basedOn w:val="Normal"/>
    <w:qFormat/>
    <w:pPr>
      <w:widowControl/>
      <w:spacing w:after="120" w:line="360" w:lineRule="auto"/>
      <w:ind w:firstLine="420" w:firstLineChars="200"/>
      <w:jc w:val="left"/>
    </w:pPr>
    <w:rPr>
      <w:rFonts w:ascii="Arial" w:eastAsia="宋体" w:hAnsi="Arial" w:cs="宋体"/>
      <w:kern w:val="0"/>
      <w:szCs w:val="20"/>
    </w:rPr>
  </w:style>
  <w:style w:type="paragraph" w:customStyle="1" w:styleId="--">
    <w:name w:val="--编号内缩进"/>
    <w:basedOn w:val="Normal"/>
    <w:qFormat/>
    <w:pPr>
      <w:spacing w:line="360" w:lineRule="auto"/>
      <w:ind w:left="420" w:firstLine="200" w:firstLineChars="200"/>
    </w:pPr>
    <w:rPr>
      <w:rFonts w:ascii="Times New Roman" w:eastAsia="宋体" w:hAnsi="Times New Roman" w:cs="Times New Roman"/>
      <w:szCs w:val="21"/>
    </w:rPr>
  </w:style>
  <w:style w:type="paragraph" w:customStyle="1" w:styleId="a4">
    <w:name w:val="封面文档标题"/>
    <w:basedOn w:val="Normal"/>
    <w:qFormat/>
    <w:pPr>
      <w:autoSpaceDE w:val="0"/>
      <w:autoSpaceDN w:val="0"/>
      <w:adjustRightInd w:val="0"/>
      <w:spacing w:line="360" w:lineRule="auto"/>
      <w:jc w:val="center"/>
    </w:pPr>
    <w:rPr>
      <w:rFonts w:ascii="Arial" w:eastAsia="宋体" w:hAnsi="Arial" w:cs="Times New Roman"/>
      <w:b/>
      <w:kern w:val="0"/>
      <w:sz w:val="56"/>
      <w:szCs w:val="24"/>
    </w:rPr>
  </w:style>
  <w:style w:type="paragraph" w:customStyle="1" w:styleId="CharCharCharCharCharChar1Char">
    <w:name w:val="Char Char Char Char Char Char1 Char"/>
    <w:basedOn w:val="Normal"/>
    <w:qFormat/>
    <w:pPr>
      <w:widowControl/>
      <w:spacing w:after="160" w:line="240" w:lineRule="exact"/>
      <w:jc w:val="left"/>
    </w:pPr>
    <w:rPr>
      <w:rFonts w:ascii="Verdana" w:eastAsia="宋体" w:hAnsi="Verdana" w:cs="Times New Roman"/>
      <w:kern w:val="0"/>
      <w:szCs w:val="20"/>
      <w:lang w:eastAsia="en-US"/>
    </w:rPr>
  </w:style>
  <w:style w:type="paragraph" w:customStyle="1" w:styleId="--0">
    <w:name w:val="--规划正文"/>
    <w:basedOn w:val="Normal"/>
    <w:qFormat/>
    <w:pPr>
      <w:spacing w:line="360" w:lineRule="auto"/>
      <w:ind w:firstLine="200" w:firstLineChars="200"/>
    </w:pPr>
    <w:rPr>
      <w:rFonts w:ascii="Times New Roman" w:eastAsia="宋体" w:hAnsi="Times New Roman" w:cs="Times New Roman"/>
      <w:szCs w:val="20"/>
    </w:rPr>
  </w:style>
  <w:style w:type="paragraph" w:customStyle="1" w:styleId="----">
    <w:name w:val="--规划-表格-居左"/>
    <w:basedOn w:val="--0"/>
    <w:qFormat/>
    <w:pPr>
      <w:spacing w:line="240" w:lineRule="auto"/>
      <w:ind w:firstLine="0" w:firstLineChars="0"/>
    </w:pPr>
    <w:rPr>
      <w:rFonts w:ascii="Times New Roman" w:eastAsia="宋体" w:hAnsi="Times New Roman" w:cs="Times New Roman"/>
      <w:sz w:val="20"/>
    </w:rPr>
  </w:style>
  <w:style w:type="paragraph" w:customStyle="1" w:styleId="CharCharCharCharChar">
    <w:name w:val="Char Char Char Char Char"/>
    <w:basedOn w:val="Normal"/>
    <w:qFormat/>
    <w:rPr>
      <w:rFonts w:ascii="Tahoma" w:eastAsia="宋体" w:hAnsi="Tahoma" w:cs="Times New Roman"/>
      <w:sz w:val="24"/>
      <w:szCs w:val="20"/>
    </w:rPr>
  </w:style>
  <w:style w:type="paragraph" w:customStyle="1" w:styleId="---">
    <w:name w:val="--规划-小标题"/>
    <w:basedOn w:val="Normal"/>
    <w:next w:val="--0"/>
    <w:qFormat/>
    <w:pPr>
      <w:keepNext/>
      <w:keepLines/>
      <w:spacing w:line="360" w:lineRule="auto"/>
      <w:outlineLvl w:val="4"/>
    </w:pPr>
    <w:rPr>
      <w:rFonts w:ascii="Times New Roman" w:eastAsia="黑体" w:hAnsi="Times New Roman" w:cs="Times New Roman"/>
      <w:szCs w:val="24"/>
    </w:rPr>
  </w:style>
  <w:style w:type="paragraph" w:customStyle="1" w:styleId="CharCharCharCharCharChar1CharCharCharCharCharCharCharCharCharCharCharCharChar">
    <w:name w:val="Char Char Char Char Char Char1 Char Char Char Char Char Char Char Char Char Char Char Char Char"/>
    <w:basedOn w:val="Normal"/>
    <w:qFormat/>
    <w:pPr>
      <w:widowControl/>
      <w:spacing w:after="160" w:line="240" w:lineRule="exact"/>
      <w:jc w:val="left"/>
    </w:pPr>
    <w:rPr>
      <w:rFonts w:ascii="Arial" w:eastAsia="Times New Roman" w:hAnsi="Arial" w:cs="Verdana"/>
      <w:b/>
      <w:kern w:val="0"/>
      <w:sz w:val="24"/>
      <w:szCs w:val="24"/>
      <w:lang w:eastAsia="en-US"/>
    </w:rPr>
  </w:style>
  <w:style w:type="paragraph" w:customStyle="1" w:styleId="cont">
    <w:name w:val="cont"/>
    <w:basedOn w:val="Normal"/>
    <w:qFormat/>
    <w:pPr>
      <w:adjustRightInd w:val="0"/>
      <w:spacing w:before="100" w:after="100" w:line="360" w:lineRule="auto"/>
      <w:ind w:firstLine="200" w:firstLineChars="200"/>
      <w:jc w:val="left"/>
      <w:textAlignment w:val="baseline"/>
    </w:pPr>
    <w:rPr>
      <w:rFonts w:ascii="Arial" w:eastAsia="宋体" w:hAnsi="Arial" w:cs="Times New Roman"/>
      <w:kern w:val="0"/>
      <w:sz w:val="24"/>
      <w:szCs w:val="20"/>
    </w:rPr>
  </w:style>
  <w:style w:type="paragraph" w:customStyle="1" w:styleId="a5">
    <w:name w:val="设计依据"/>
    <w:basedOn w:val="BodyText"/>
    <w:qFormat/>
    <w:pPr>
      <w:tabs>
        <w:tab w:val="left" w:pos="1440"/>
      </w:tabs>
      <w:adjustRightInd w:val="0"/>
      <w:ind w:left="1440" w:hanging="420"/>
      <w:textAlignment w:val="baseline"/>
    </w:pPr>
    <w:rPr>
      <w:rFonts w:ascii="宋体" w:eastAsia="宋体" w:hAnsi="宋体" w:cs="Times New Roman"/>
      <w:b w:val="0"/>
      <w:sz w:val="28"/>
      <w:szCs w:val="18"/>
    </w:rPr>
  </w:style>
  <w:style w:type="paragraph" w:customStyle="1" w:styleId="a6">
    <w:name w:val="È±Ê¡ÎÄ±¾"/>
    <w:basedOn w:val="Normal"/>
    <w:pPr>
      <w:widowControl/>
      <w:overflowPunct w:val="0"/>
      <w:autoSpaceDE w:val="0"/>
      <w:autoSpaceDN w:val="0"/>
      <w:adjustRightInd w:val="0"/>
      <w:jc w:val="left"/>
      <w:textAlignment w:val="baseline"/>
    </w:pPr>
    <w:rPr>
      <w:rFonts w:ascii="Times New Roman" w:eastAsia="宋体" w:hAnsi="Times New Roman" w:cs="Times New Roman"/>
      <w:kern w:val="0"/>
      <w:sz w:val="24"/>
      <w:szCs w:val="20"/>
    </w:rPr>
  </w:style>
  <w:style w:type="paragraph" w:customStyle="1" w:styleId="8">
    <w:name w:val="汉议细等线简8"/>
    <w:qFormat/>
    <w:pPr>
      <w:widowControl w:val="0"/>
      <w:autoSpaceDE w:val="0"/>
      <w:autoSpaceDN w:val="0"/>
      <w:adjustRightInd w:val="0"/>
      <w:spacing w:line="260" w:lineRule="atLeast"/>
      <w:jc w:val="both"/>
    </w:pPr>
    <w:rPr>
      <w:rFonts w:ascii="汉仪细等线简" w:eastAsia="汉仪细等线简" w:hAnsi="Times New Roman" w:cs="Times New Roman"/>
      <w:color w:val="000000"/>
      <w:sz w:val="16"/>
      <w:szCs w:val="16"/>
      <w:lang w:val="en-US" w:eastAsia="zh-CN" w:bidi="ar-SA"/>
    </w:rPr>
  </w:style>
  <w:style w:type="paragraph" w:customStyle="1" w:styleId="2">
    <w:name w:val="列出段落2"/>
    <w:basedOn w:val="Normal"/>
    <w:pPr>
      <w:ind w:firstLine="420" w:firstLineChars="200"/>
    </w:pPr>
    <w:rPr>
      <w:rFonts w:ascii="Times New Roman" w:eastAsia="宋体" w:hAnsi="Times New Roman" w:cs="Times New Roman"/>
      <w:szCs w:val="20"/>
    </w:rPr>
  </w:style>
  <w:style w:type="paragraph" w:customStyle="1" w:styleId="Default">
    <w:name w:val="Default"/>
    <w:qFormat/>
    <w:pPr>
      <w:widowControl w:val="0"/>
      <w:autoSpaceDE w:val="0"/>
      <w:autoSpaceDN w:val="0"/>
      <w:adjustRightInd w:val="0"/>
    </w:pPr>
    <w:rPr>
      <w:rFonts w:ascii="H Yb 2gj" w:eastAsia="H Yb 2gj" w:hAnsi="Times New Roman" w:cs="H Yb 2gj"/>
      <w:color w:val="000000"/>
      <w:sz w:val="24"/>
      <w:szCs w:val="24"/>
      <w:lang w:val="en-US" w:eastAsia="zh-CN" w:bidi="ar-SA"/>
    </w:rPr>
  </w:style>
  <w:style w:type="paragraph" w:customStyle="1" w:styleId="21313">
    <w:name w:val="样式 标题 2 + 段前: 13 磅 段后: 13 磅 行距: 单倍行距"/>
    <w:basedOn w:val="Heading2"/>
    <w:qFormat/>
    <w:pPr>
      <w:adjustRightInd/>
      <w:spacing w:before="0" w:after="0"/>
      <w:jc w:val="both"/>
      <w:textAlignment w:val="auto"/>
    </w:pPr>
    <w:rPr>
      <w:rFonts w:ascii="Cambria" w:eastAsia="宋体" w:hAnsi="Cambria" w:cs="宋体"/>
      <w:kern w:val="2"/>
      <w:sz w:val="32"/>
    </w:rPr>
  </w:style>
  <w:style w:type="paragraph" w:customStyle="1" w:styleId="CM2">
    <w:name w:val="CM2"/>
    <w:basedOn w:val="Default"/>
    <w:next w:val="Default"/>
    <w:pPr>
      <w:spacing w:line="200" w:lineRule="atLeast"/>
    </w:pPr>
    <w:rPr>
      <w:rFonts w:ascii="Arial" w:eastAsia="宋体" w:hAnsi="Arial" w:cs="Times New Roman"/>
      <w:color w:val="auto"/>
    </w:rPr>
  </w:style>
  <w:style w:type="paragraph" w:customStyle="1" w:styleId="Char27">
    <w:name w:val="Char"/>
    <w:basedOn w:val="Normal"/>
    <w:pPr>
      <w:widowControl/>
      <w:spacing w:after="160" w:line="240" w:lineRule="exact"/>
      <w:jc w:val="left"/>
    </w:pPr>
    <w:rPr>
      <w:rFonts w:ascii="Verdana" w:eastAsia="仿宋_GB2312" w:hAnsi="Verdana" w:cs="Times New Roman"/>
      <w:kern w:val="0"/>
      <w:sz w:val="24"/>
      <w:szCs w:val="20"/>
      <w:lang w:eastAsia="en-US"/>
    </w:rPr>
  </w:style>
  <w:style w:type="paragraph" w:customStyle="1" w:styleId="7">
    <w:name w:val="7"/>
    <w:basedOn w:val="Normal"/>
    <w:qFormat/>
    <w:pPr>
      <w:autoSpaceDE w:val="0"/>
      <w:autoSpaceDN w:val="0"/>
      <w:adjustRightInd w:val="0"/>
      <w:spacing w:line="270" w:lineRule="atLeast"/>
      <w:jc w:val="left"/>
    </w:pPr>
    <w:rPr>
      <w:rFonts w:ascii="宋体" w:eastAsia="宋体" w:hAnsi="Times New Roman" w:cs="Times New Roman"/>
      <w:kern w:val="0"/>
      <w:sz w:val="18"/>
      <w:szCs w:val="18"/>
    </w:rPr>
  </w:style>
  <w:style w:type="paragraph" w:customStyle="1" w:styleId="font0">
    <w:name w:val="font0"/>
    <w:basedOn w:val="Normal"/>
    <w:qFormat/>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a7">
    <w:name w:val="图"/>
    <w:basedOn w:val="Normal"/>
    <w:pPr>
      <w:keepNext/>
      <w:adjustRightInd w:val="0"/>
      <w:snapToGrid w:val="0"/>
      <w:spacing w:before="60" w:after="60" w:line="300" w:lineRule="auto"/>
      <w:jc w:val="center"/>
    </w:pPr>
    <w:rPr>
      <w:rFonts w:ascii="Times New Roman" w:eastAsia="宋体" w:hAnsi="Times New Roman" w:cs="Times New Roman"/>
      <w:spacing w:val="20"/>
      <w:kern w:val="0"/>
      <w:sz w:val="24"/>
      <w:szCs w:val="20"/>
    </w:rPr>
  </w:style>
  <w:style w:type="paragraph" w:customStyle="1" w:styleId="xl28">
    <w:name w:val="xl28"/>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a8">
    <w:name w:val="文档正文"/>
    <w:basedOn w:val="Normal"/>
    <w:pPr>
      <w:adjustRightInd w:val="0"/>
      <w:spacing w:line="480" w:lineRule="atLeast"/>
      <w:ind w:firstLine="567" w:firstLineChars="200"/>
      <w:textAlignment w:val="baseline"/>
    </w:pPr>
    <w:rPr>
      <w:rFonts w:ascii="长城仿宋" w:eastAsia="宋体" w:hAnsi="Times New Roman" w:cs="Times New Roman"/>
      <w:kern w:val="0"/>
      <w:szCs w:val="20"/>
    </w:rPr>
  </w:style>
  <w:style w:type="paragraph" w:styleId="ListParagraph">
    <w:name w:val="List Paragraph"/>
    <w:basedOn w:val="Normal"/>
    <w:qFormat/>
    <w:pPr>
      <w:ind w:firstLine="420" w:firstLineChars="200"/>
    </w:pPr>
    <w:rPr>
      <w:rFonts w:ascii="Times New Roman" w:eastAsia="宋体" w:hAnsi="Times New Roman" w:cs="Times New Roman"/>
    </w:rPr>
  </w:style>
  <w:style w:type="paragraph" w:customStyle="1" w:styleId="41">
    <w:name w:val="样式41"/>
    <w:basedOn w:val="Normal"/>
    <w:qFormat/>
    <w:pPr>
      <w:tabs>
        <w:tab w:val="left" w:pos="945"/>
        <w:tab w:val="left" w:pos="2040"/>
      </w:tabs>
      <w:spacing w:line="360" w:lineRule="auto"/>
      <w:ind w:left="2040" w:hanging="360"/>
    </w:pPr>
    <w:rPr>
      <w:rFonts w:ascii="Times New Roman" w:eastAsia="宋体" w:hAnsi="Times New Roman" w:cs="Times New Roman"/>
      <w:b/>
      <w:color w:val="000000"/>
      <w:sz w:val="24"/>
      <w:szCs w:val="20"/>
    </w:rPr>
  </w:style>
  <w:style w:type="paragraph" w:customStyle="1" w:styleId="qw">
    <w:name w:val="qw"/>
    <w:qFormat/>
    <w:pPr>
      <w:widowControl w:val="0"/>
      <w:adjustRightInd w:val="0"/>
      <w:spacing w:line="312" w:lineRule="atLeast"/>
      <w:jc w:val="both"/>
      <w:textAlignment w:val="baseline"/>
    </w:pPr>
    <w:rPr>
      <w:rFonts w:ascii="宋体" w:eastAsia="宋体" w:hAnsi="Times New Roman" w:cs="Times New Roman"/>
      <w:sz w:val="24"/>
      <w:lang w:val="en-US" w:eastAsia="zh-CN" w:bidi="ar-SA"/>
    </w:rPr>
  </w:style>
  <w:style w:type="paragraph" w:customStyle="1" w:styleId="24">
    <w:name w:val="2册标题4"/>
    <w:basedOn w:val="Normal"/>
    <w:next w:val="Normal"/>
    <w:qFormat/>
    <w:pPr>
      <w:spacing w:beforeLines="50" w:afterLines="50" w:line="300" w:lineRule="auto"/>
      <w:ind w:left="420" w:leftChars="200"/>
      <w:outlineLvl w:val="3"/>
    </w:pPr>
    <w:rPr>
      <w:rFonts w:ascii="Arial" w:eastAsia="幼圆" w:hAnsi="Arial" w:cs="Arial"/>
      <w:b/>
      <w:sz w:val="24"/>
      <w:szCs w:val="24"/>
    </w:rPr>
  </w:style>
  <w:style w:type="paragraph" w:customStyle="1" w:styleId="TableContents">
    <w:name w:val="Table Contents"/>
    <w:basedOn w:val="Normal"/>
    <w:qFormat/>
    <w:pPr>
      <w:suppressAutoHyphens/>
      <w:autoSpaceDE w:val="0"/>
      <w:spacing w:after="120"/>
      <w:jc w:val="left"/>
    </w:pPr>
    <w:rPr>
      <w:rFonts w:ascii="Helvetica" w:eastAsia="宋体" w:hAnsi="Helvetica" w:cs="Times New Roman"/>
      <w:kern w:val="1"/>
      <w:sz w:val="20"/>
      <w:szCs w:val="20"/>
    </w:rPr>
  </w:style>
  <w:style w:type="paragraph" w:customStyle="1" w:styleId="CharCharChar">
    <w:name w:val="Char Char Char"/>
    <w:basedOn w:val="Normal"/>
    <w:qFormat/>
    <w:rPr>
      <w:rFonts w:ascii="Tahoma" w:eastAsia="宋体" w:hAnsi="Tahoma" w:cs="Times New Roman"/>
      <w:sz w:val="24"/>
      <w:szCs w:val="20"/>
    </w:rPr>
  </w:style>
  <w:style w:type="paragraph" w:customStyle="1" w:styleId="--Char">
    <w:name w:val="--规划正文 Char"/>
    <w:basedOn w:val="Normal"/>
    <w:qFormat/>
    <w:pPr>
      <w:spacing w:line="360" w:lineRule="auto"/>
      <w:ind w:firstLine="200" w:firstLineChars="200"/>
    </w:pPr>
    <w:rPr>
      <w:rFonts w:ascii="Times New Roman" w:eastAsia="宋体" w:hAnsi="Times New Roman" w:cs="Times New Roman"/>
      <w:sz w:val="24"/>
      <w:szCs w:val="24"/>
    </w:rPr>
  </w:style>
  <w:style w:type="paragraph" w:customStyle="1" w:styleId="Char28">
    <w:name w:val="Char2"/>
    <w:basedOn w:val="Normal"/>
    <w:qFormat/>
    <w:pPr>
      <w:widowControl/>
      <w:spacing w:after="160" w:line="240" w:lineRule="exact"/>
      <w:jc w:val="left"/>
    </w:pPr>
    <w:rPr>
      <w:rFonts w:ascii="Verdana" w:eastAsia="仿宋_GB2312" w:hAnsi="Verdana" w:cs="Times New Roman"/>
      <w:kern w:val="0"/>
      <w:sz w:val="24"/>
      <w:szCs w:val="20"/>
      <w:lang w:eastAsia="en-US"/>
    </w:rPr>
  </w:style>
  <w:style w:type="paragraph" w:customStyle="1" w:styleId="---0">
    <w:name w:val="--规划-图和表"/>
    <w:next w:val="--0"/>
    <w:qFormat/>
    <w:pPr>
      <w:jc w:val="center"/>
    </w:pPr>
    <w:rPr>
      <w:rFonts w:ascii="Times New Roman" w:eastAsia="宋体" w:hAnsi="Times New Roman" w:cs="Times New Roman"/>
      <w:kern w:val="2"/>
      <w:sz w:val="21"/>
      <w:lang w:val="en-US" w:eastAsia="zh-CN" w:bidi="ar-SA"/>
    </w:rPr>
  </w:style>
  <w:style w:type="paragraph" w:customStyle="1" w:styleId="9BOLD">
    <w:name w:val="汉仪细等线简9BOLD"/>
    <w:basedOn w:val="Normal"/>
    <w:qFormat/>
    <w:pPr>
      <w:autoSpaceDE w:val="0"/>
      <w:autoSpaceDN w:val="0"/>
      <w:adjustRightInd w:val="0"/>
      <w:spacing w:line="240" w:lineRule="atLeast"/>
    </w:pPr>
    <w:rPr>
      <w:rFonts w:ascii="汉仪细等线简" w:eastAsia="汉仪细等线简" w:hAnsi="Times New Roman" w:cs="Times New Roman"/>
      <w:b/>
      <w:bCs/>
      <w:kern w:val="0"/>
      <w:sz w:val="18"/>
      <w:szCs w:val="18"/>
    </w:rPr>
  </w:style>
  <w:style w:type="paragraph" w:customStyle="1" w:styleId="80">
    <w:name w:val="8"/>
    <w:basedOn w:val="Normal"/>
    <w:next w:val="BodyTextIndent"/>
    <w:qFormat/>
    <w:pPr>
      <w:spacing w:after="120"/>
      <w:ind w:left="420" w:leftChars="200"/>
    </w:pPr>
    <w:rPr>
      <w:rFonts w:ascii="Times New Roman" w:eastAsia="宋体" w:hAnsi="Times New Roman" w:cs="Times New Roman"/>
      <w:szCs w:val="24"/>
    </w:rPr>
  </w:style>
  <w:style w:type="paragraph" w:customStyle="1" w:styleId="blue1">
    <w:name w:val="blue1"/>
    <w:basedOn w:val="Normal"/>
    <w:qFormat/>
    <w:pPr>
      <w:widowControl/>
      <w:spacing w:before="100" w:beforeAutospacing="1" w:after="100" w:afterAutospacing="1"/>
      <w:jc w:val="left"/>
    </w:pPr>
    <w:rPr>
      <w:rFonts w:ascii="宋体" w:eastAsia="宋体" w:hAnsi="宋体" w:cs="宋体"/>
      <w:kern w:val="0"/>
      <w:sz w:val="24"/>
      <w:szCs w:val="24"/>
    </w:rPr>
  </w:style>
  <w:style w:type="paragraph" w:customStyle="1" w:styleId="RFItextfrom3rdLevel">
    <w:name w:val="RFI text from 3rd Level"/>
    <w:basedOn w:val="Normal"/>
    <w:qFormat/>
    <w:pPr>
      <w:widowControl/>
      <w:tabs>
        <w:tab w:val="left" w:pos="1080"/>
      </w:tabs>
      <w:spacing w:beforeLines="50" w:line="360" w:lineRule="auto"/>
    </w:pPr>
    <w:rPr>
      <w:rFonts w:ascii="Arial (W1)" w:eastAsia="宋体" w:hAnsi="Arial (W1)" w:cs="Times New Roman"/>
      <w:bCs/>
      <w:kern w:val="0"/>
      <w:sz w:val="24"/>
      <w:szCs w:val="24"/>
      <w:lang w:val="en-GB"/>
    </w:rPr>
  </w:style>
  <w:style w:type="paragraph" w:customStyle="1" w:styleId="Char110">
    <w:name w:val="Char1"/>
    <w:basedOn w:val="Normal"/>
    <w:qFormat/>
    <w:pPr>
      <w:jc w:val="left"/>
    </w:pPr>
    <w:rPr>
      <w:rFonts w:ascii="Tahoma" w:eastAsia="宋体" w:hAnsi="Tahoma" w:cs="Times New Roman"/>
      <w:sz w:val="24"/>
      <w:szCs w:val="20"/>
    </w:rPr>
  </w:style>
  <w:style w:type="paragraph" w:customStyle="1" w:styleId="Style28">
    <w:name w:val="_Style 28"/>
    <w:next w:val="Normal"/>
    <w:qFormat/>
    <w:pPr>
      <w:widowControl w:val="0"/>
      <w:jc w:val="both"/>
    </w:pPr>
    <w:rPr>
      <w:rFonts w:ascii="Calibri" w:eastAsia="宋体" w:hAnsi="Calibri" w:cs="Times New Roman"/>
      <w:kern w:val="2"/>
      <w:sz w:val="21"/>
      <w:szCs w:val="22"/>
      <w:lang w:val="en-US" w:eastAsia="zh-CN" w:bidi="ar-SA"/>
    </w:rPr>
  </w:style>
  <w:style w:type="paragraph" w:customStyle="1" w:styleId="5">
    <w:name w:val="5"/>
    <w:basedOn w:val="Normal"/>
    <w:qFormat/>
    <w:pPr>
      <w:autoSpaceDE w:val="0"/>
      <w:autoSpaceDN w:val="0"/>
      <w:adjustRightInd w:val="0"/>
      <w:jc w:val="left"/>
    </w:pPr>
    <w:rPr>
      <w:rFonts w:ascii="宋体" w:eastAsia="宋体" w:hAnsi="Times New Roman" w:cs="Times New Roman"/>
      <w:b/>
      <w:bCs/>
      <w:kern w:val="0"/>
      <w:sz w:val="18"/>
      <w:szCs w:val="18"/>
    </w:rPr>
  </w:style>
  <w:style w:type="paragraph" w:customStyle="1" w:styleId="a9">
    <w:name w:val="方案要点"/>
    <w:basedOn w:val="Normal"/>
    <w:qFormat/>
    <w:pPr>
      <w:tabs>
        <w:tab w:val="left" w:pos="420"/>
      </w:tabs>
      <w:spacing w:line="360" w:lineRule="auto"/>
      <w:ind w:left="420" w:hanging="420"/>
    </w:pPr>
    <w:rPr>
      <w:rFonts w:ascii="仿宋_GB2312" w:eastAsia="仿宋_GB2312" w:hAnsi="宋体" w:cs="Times New Roman"/>
      <w:color w:val="000000"/>
      <w:sz w:val="28"/>
      <w:szCs w:val="28"/>
    </w:rPr>
  </w:style>
  <w:style w:type="paragraph" w:customStyle="1" w:styleId="TableText">
    <w:name w:val="Table Text"/>
    <w:basedOn w:val="Normal"/>
    <w:qFormat/>
    <w:rPr>
      <w:rFonts w:ascii="微软雅黑" w:eastAsia="微软雅黑" w:hAnsi="微软雅黑" w:cs="微软雅黑"/>
      <w:sz w:val="24"/>
      <w:szCs w:val="24"/>
      <w:lang w:val="en-US" w:eastAsia="en-US" w:bidi="ar-SA"/>
    </w:rPr>
  </w:style>
  <w:style w:type="paragraph" w:customStyle="1" w:styleId="word">
    <w:name w:val="word"/>
    <w:basedOn w:val="Normal"/>
    <w:qFormat/>
    <w:pPr>
      <w:widowControl/>
      <w:spacing w:before="100" w:beforeAutospacing="1" w:after="100" w:afterAutospacing="1" w:line="301" w:lineRule="atLeast"/>
      <w:jc w:val="left"/>
    </w:pPr>
    <w:rPr>
      <w:rFonts w:ascii="ˎ̥" w:eastAsia="宋体" w:hAnsi="ˎ̥" w:cs="Times New Roman"/>
      <w:color w:val="000000"/>
      <w:kern w:val="0"/>
      <w:sz w:val="20"/>
      <w:szCs w:val="20"/>
    </w:rPr>
  </w:style>
  <w:style w:type="paragraph" w:customStyle="1" w:styleId="NormalParagraph">
    <w:name w:val="Normal Paragraph"/>
    <w:basedOn w:val="Normal"/>
    <w:qFormat/>
    <w:pPr>
      <w:widowControl/>
      <w:spacing w:before="120" w:line="360" w:lineRule="auto"/>
      <w:ind w:firstLine="425"/>
    </w:pPr>
    <w:rPr>
      <w:rFonts w:ascii="Times New Roman" w:eastAsia="宋体" w:hAnsi="Times New Roman" w:cs="Times New Roman"/>
      <w:kern w:val="0"/>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qFormat/>
    <w:pPr>
      <w:widowControl/>
      <w:spacing w:line="400" w:lineRule="exact"/>
      <w:jc w:val="center"/>
    </w:pPr>
    <w:rPr>
      <w:rFonts w:ascii="Verdana" w:eastAsia="宋体" w:hAnsi="Verdana" w:cs="Times New Roman"/>
      <w:kern w:val="0"/>
      <w:szCs w:val="20"/>
      <w:lang w:eastAsia="en-US"/>
    </w:rPr>
  </w:style>
  <w:style w:type="paragraph" w:customStyle="1" w:styleId="----0">
    <w:name w:val="--规划-表格-居中"/>
    <w:basedOn w:val="--0"/>
    <w:qFormat/>
    <w:pPr>
      <w:spacing w:line="240" w:lineRule="auto"/>
      <w:ind w:firstLine="0" w:firstLineChars="0"/>
      <w:jc w:val="center"/>
    </w:pPr>
    <w:rPr>
      <w:rFonts w:ascii="Times New Roman" w:eastAsia="宋体" w:hAnsi="Times New Roman" w:cs="Times New Roman"/>
      <w:sz w:val="20"/>
    </w:rPr>
  </w:style>
  <w:style w:type="paragraph" w:customStyle="1" w:styleId="a10">
    <w:name w:val="正文文字缩进项目"/>
    <w:basedOn w:val="BodyTextIndent"/>
    <w:qFormat/>
    <w:pPr>
      <w:tabs>
        <w:tab w:val="left" w:pos="840"/>
      </w:tabs>
      <w:spacing w:after="120" w:line="240" w:lineRule="auto"/>
      <w:ind w:left="840" w:firstLine="0" w:firstLineChars="0"/>
    </w:pPr>
    <w:rPr>
      <w:rFonts w:ascii="Tahoma" w:eastAsia="宋体" w:hAnsi="Tahoma" w:cs="Times New Roman"/>
      <w:sz w:val="22"/>
      <w:szCs w:val="20"/>
    </w:rPr>
  </w:style>
  <w:style w:type="paragraph" w:customStyle="1" w:styleId="4">
    <w:name w:val="样式4"/>
    <w:basedOn w:val="Normal"/>
    <w:qFormat/>
    <w:pPr>
      <w:tabs>
        <w:tab w:val="left" w:pos="842"/>
      </w:tabs>
      <w:spacing w:line="360" w:lineRule="auto"/>
      <w:ind w:left="842" w:hanging="420"/>
    </w:pPr>
    <w:rPr>
      <w:rFonts w:ascii="Times New Roman" w:eastAsia="宋体" w:hAnsi="Times New Roman" w:cs="Times New Roman"/>
      <w:sz w:val="24"/>
      <w:szCs w:val="24"/>
    </w:rPr>
  </w:style>
  <w:style w:type="paragraph" w:customStyle="1" w:styleId="CharCharCharChar">
    <w:name w:val="Char Char Char Char"/>
    <w:basedOn w:val="Normal"/>
    <w:qFormat/>
    <w:pPr>
      <w:widowControl/>
      <w:spacing w:after="160" w:line="240" w:lineRule="exact"/>
      <w:jc w:val="left"/>
    </w:pPr>
    <w:rPr>
      <w:rFonts w:ascii="Verdana" w:eastAsia="仿宋_GB2312" w:hAnsi="Verdana" w:cs="Times New Roman"/>
      <w:kern w:val="0"/>
      <w:sz w:val="24"/>
      <w:szCs w:val="20"/>
      <w:lang w:eastAsia="en-US"/>
    </w:rPr>
  </w:style>
  <w:style w:type="paragraph" w:customStyle="1" w:styleId="---1">
    <w:name w:val="--规划-题注"/>
    <w:basedOn w:val="Normal"/>
    <w:next w:val="--0"/>
    <w:qFormat/>
    <w:pPr>
      <w:spacing w:line="360" w:lineRule="auto"/>
      <w:jc w:val="center"/>
    </w:pPr>
    <w:rPr>
      <w:rFonts w:ascii="Times New Roman" w:eastAsia="黑体" w:hAnsi="Times New Roman" w:cs="Times New Roman"/>
      <w:szCs w:val="24"/>
    </w:rPr>
  </w:style>
  <w:style w:type="paragraph" w:customStyle="1" w:styleId="xl24">
    <w:name w:val="xl24"/>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12">
    <w:name w:val="样式1"/>
    <w:basedOn w:val="Title"/>
    <w:qFormat/>
    <w:pPr>
      <w:spacing w:before="120" w:after="120"/>
    </w:pPr>
    <w:rPr>
      <w:rFonts w:ascii="Times New Roman" w:eastAsia="黑体" w:hAnsi="Times New Roman" w:cs="Times New Roman"/>
      <w:b w:val="0"/>
      <w:sz w:val="30"/>
      <w:szCs w:val="21"/>
    </w:rPr>
  </w:style>
  <w:style w:type="paragraph" w:customStyle="1" w:styleId="a11">
    <w:name w:val="正文样式"/>
    <w:basedOn w:val="Normal"/>
    <w:qFormat/>
    <w:pPr>
      <w:adjustRightInd w:val="0"/>
      <w:spacing w:line="400" w:lineRule="atLeast"/>
      <w:ind w:firstLine="570" w:firstLineChars="203"/>
      <w:textAlignment w:val="baseline"/>
    </w:pPr>
    <w:rPr>
      <w:rFonts w:ascii="Times New Roman" w:eastAsia="仿宋_GB2312" w:hAnsi="Times New Roman" w:cs="Times New Roman"/>
      <w:kern w:val="0"/>
      <w:sz w:val="28"/>
      <w:szCs w:val="20"/>
    </w:rPr>
  </w:style>
  <w:style w:type="paragraph" w:customStyle="1" w:styleId="font6">
    <w:name w:val="font6"/>
    <w:basedOn w:val="Normal"/>
    <w:qFormat/>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a12">
    <w:name w:val="姜文清定义的正文"/>
    <w:basedOn w:val="Normal"/>
    <w:qFormat/>
    <w:pPr>
      <w:spacing w:line="240" w:lineRule="atLeast"/>
      <w:ind w:firstLine="567"/>
    </w:pPr>
    <w:rPr>
      <w:rFonts w:ascii="Times New Roman" w:eastAsia="宋体" w:hAnsi="Times New Roman" w:cs="Times New Roman"/>
      <w:szCs w:val="20"/>
    </w:rPr>
  </w:style>
  <w:style w:type="paragraph" w:customStyle="1" w:styleId="3">
    <w:name w:val="样式3"/>
    <w:basedOn w:val="Heading1"/>
    <w:qFormat/>
    <w:pPr>
      <w:tabs>
        <w:tab w:val="left" w:pos="420"/>
      </w:tabs>
      <w:spacing w:before="240" w:after="240" w:line="480" w:lineRule="auto"/>
      <w:ind w:left="420" w:right="210" w:hanging="420" w:rightChars="100"/>
      <w:jc w:val="left"/>
    </w:pPr>
    <w:rPr>
      <w:rFonts w:ascii="Times New Roman" w:eastAsia="宋体" w:hAnsi="Times New Roman" w:cs="Times New Roman"/>
      <w:sz w:val="32"/>
    </w:rPr>
  </w:style>
  <w:style w:type="paragraph" w:customStyle="1" w:styleId="00">
    <w:name w:val="00"/>
    <w:basedOn w:val="Normal"/>
    <w:pPr>
      <w:autoSpaceDE w:val="0"/>
      <w:autoSpaceDN w:val="0"/>
      <w:adjustRightInd w:val="0"/>
      <w:jc w:val="left"/>
    </w:pPr>
    <w:rPr>
      <w:rFonts w:ascii="黑体" w:eastAsia="黑体" w:hAnsi="Times New Roman" w:cs="Times New Roman"/>
      <w:b/>
      <w:bCs/>
      <w:kern w:val="0"/>
      <w:sz w:val="20"/>
      <w:szCs w:val="20"/>
    </w:rPr>
  </w:style>
  <w:style w:type="paragraph" w:customStyle="1" w:styleId="a13">
    <w:name w:val="评价"/>
    <w:basedOn w:val="Normal"/>
    <w:qFormat/>
    <w:pPr>
      <w:spacing w:afterLines="20"/>
      <w:ind w:firstLine="1446" w:firstLineChars="200"/>
    </w:pPr>
    <w:rPr>
      <w:rFonts w:ascii="Times New Roman" w:eastAsia="宋体" w:hAnsi="Times New Roman" w:cs="Times New Roman"/>
      <w:sz w:val="24"/>
      <w:szCs w:val="24"/>
    </w:rPr>
  </w:style>
  <w:style w:type="paragraph" w:customStyle="1" w:styleId="Char29">
    <w:name w:val="正文(首行缩进) Char"/>
    <w:qFormat/>
    <w:pPr>
      <w:spacing w:before="120" w:after="60" w:line="360" w:lineRule="auto"/>
      <w:ind w:firstLine="200" w:firstLineChars="200"/>
    </w:pPr>
    <w:rPr>
      <w:rFonts w:ascii="Times New Roman" w:eastAsia="仿宋_GB2312" w:hAnsi="Times New Roman" w:cs="Times New Roman"/>
      <w:spacing w:val="2"/>
      <w:kern w:val="24"/>
      <w:sz w:val="24"/>
      <w:szCs w:val="24"/>
      <w:lang w:val="en-US" w:eastAsia="zh-CN" w:bidi="ar-SA"/>
    </w:rPr>
  </w:style>
  <w:style w:type="paragraph" w:customStyle="1" w:styleId="a14">
    <w:name w:val="自定义正文"/>
    <w:basedOn w:val="Normal"/>
    <w:qFormat/>
    <w:pPr>
      <w:spacing w:afterLines="50"/>
      <w:ind w:left="600" w:leftChars="600"/>
    </w:pPr>
    <w:rPr>
      <w:rFonts w:ascii="Times New Roman" w:eastAsia="宋体" w:hAnsi="Times New Roman" w:cs="Times New Roman"/>
      <w:szCs w:val="24"/>
    </w:rPr>
  </w:style>
  <w:style w:type="paragraph" w:customStyle="1" w:styleId="font5">
    <w:name w:val="font5"/>
    <w:basedOn w:val="Normal"/>
    <w:qFormat/>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xl75">
    <w:name w:val="xl75"/>
    <w:basedOn w:val="Normal"/>
    <w:qFormat/>
    <w:pPr>
      <w:widowControl/>
      <w:spacing w:before="100" w:beforeAutospacing="1" w:after="100" w:afterAutospacing="1"/>
      <w:jc w:val="center"/>
      <w:textAlignment w:val="center"/>
    </w:pPr>
    <w:rPr>
      <w:rFonts w:ascii="新宋体" w:eastAsia="新宋体" w:hAnsi="新宋体" w:cs="宋体"/>
      <w:kern w:val="0"/>
      <w:sz w:val="24"/>
      <w:szCs w:val="24"/>
    </w:rPr>
  </w:style>
  <w:style w:type="paragraph" w:customStyle="1" w:styleId="xl25">
    <w:name w:val="xl25"/>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text1">
    <w:name w:val="text1"/>
    <w:basedOn w:val="Normal"/>
    <w:qFormat/>
    <w:pPr>
      <w:widowControl/>
      <w:spacing w:before="100" w:beforeAutospacing="1" w:after="100" w:afterAutospacing="1"/>
      <w:jc w:val="left"/>
    </w:pPr>
    <w:rPr>
      <w:rFonts w:ascii="宋体" w:eastAsia="宋体" w:hAnsi="宋体" w:cs="宋体"/>
      <w:kern w:val="0"/>
      <w:sz w:val="24"/>
      <w:szCs w:val="24"/>
    </w:rPr>
  </w:style>
  <w:style w:type="paragraph" w:customStyle="1" w:styleId="a140">
    <w:name w:val="a14"/>
    <w:basedOn w:val="Normal"/>
    <w:qFormat/>
    <w:pPr>
      <w:widowControl/>
      <w:spacing w:before="100" w:beforeAutospacing="1" w:after="100" w:afterAutospacing="1" w:line="300" w:lineRule="atLeast"/>
      <w:ind w:firstLine="375"/>
      <w:jc w:val="left"/>
    </w:pPr>
    <w:rPr>
      <w:rFonts w:ascii="宋体" w:eastAsia="宋体" w:hAnsi="宋体" w:cs="宋体"/>
      <w:kern w:val="0"/>
      <w:szCs w:val="21"/>
    </w:rPr>
  </w:style>
  <w:style w:type="paragraph" w:customStyle="1" w:styleId="xl72">
    <w:name w:val="xl72"/>
    <w:basedOn w:val="Normal"/>
    <w:qFormat/>
    <w:pPr>
      <w:widowControl/>
      <w:spacing w:before="100" w:beforeAutospacing="1" w:after="100" w:afterAutospacing="1"/>
      <w:jc w:val="left"/>
    </w:pPr>
    <w:rPr>
      <w:rFonts w:ascii="宋体" w:eastAsia="宋体" w:hAnsi="宋体" w:cs="Times New Roman"/>
      <w:b/>
      <w:bCs/>
      <w:kern w:val="0"/>
      <w:sz w:val="28"/>
      <w:szCs w:val="28"/>
    </w:rPr>
  </w:style>
  <w:style w:type="paragraph" w:customStyle="1" w:styleId="a15">
    <w:name w:val=".正文"/>
    <w:basedOn w:val="Normal"/>
    <w:qFormat/>
    <w:pPr>
      <w:spacing w:beforeLines="50"/>
      <w:ind w:firstLine="200" w:firstLineChars="200"/>
    </w:pPr>
    <w:rPr>
      <w:rFonts w:ascii="Times New Roman" w:eastAsia="华文仿宋" w:hAnsi="Times New Roman" w:cs="Times New Roman"/>
    </w:rPr>
  </w:style>
  <w:style w:type="paragraph" w:customStyle="1" w:styleId="a16">
    <w:name w:val="产品描述"/>
    <w:qFormat/>
    <w:pPr>
      <w:widowControl w:val="0"/>
      <w:autoSpaceDE w:val="0"/>
      <w:autoSpaceDN w:val="0"/>
      <w:adjustRightInd w:val="0"/>
      <w:spacing w:line="270" w:lineRule="atLeast"/>
      <w:ind w:firstLine="397"/>
      <w:jc w:val="both"/>
    </w:pPr>
    <w:rPr>
      <w:rFonts w:ascii="宋体" w:eastAsia="宋体" w:hAnsi="Times New Roman" w:cs="Times New Roman"/>
      <w:sz w:val="18"/>
      <w:szCs w:val="18"/>
      <w:lang w:val="en-US" w:eastAsia="zh-CN" w:bidi="ar-SA"/>
    </w:rPr>
  </w:style>
  <w:style w:type="paragraph" w:customStyle="1" w:styleId="a17">
    <w:name w:val="缺省文本"/>
    <w:basedOn w:val="Normal"/>
    <w:qFormat/>
    <w:pPr>
      <w:autoSpaceDE w:val="0"/>
      <w:autoSpaceDN w:val="0"/>
      <w:adjustRightInd w:val="0"/>
      <w:jc w:val="left"/>
    </w:pPr>
    <w:rPr>
      <w:rFonts w:ascii="Times New Roman" w:eastAsia="宋体" w:hAnsi="Times New Roman" w:cs="Times New Roman"/>
      <w:kern w:val="0"/>
      <w:szCs w:val="24"/>
    </w:rPr>
  </w:style>
  <w:style w:type="paragraph" w:customStyle="1" w:styleId="USE1">
    <w:name w:val="USE 1"/>
    <w:basedOn w:val="Normal"/>
    <w:qFormat/>
    <w:pPr>
      <w:spacing w:line="200" w:lineRule="atLeast"/>
      <w:jc w:val="left"/>
    </w:pPr>
    <w:rPr>
      <w:rFonts w:ascii="宋体" w:eastAsia="宋体" w:hAnsi="宋体" w:cs="Times New Roman"/>
      <w:b/>
      <w:sz w:val="24"/>
      <w:szCs w:val="28"/>
    </w:rPr>
  </w:style>
  <w:style w:type="paragraph" w:customStyle="1" w:styleId="CharChar">
    <w:name w:val="Char Char"/>
    <w:basedOn w:val="Normal"/>
    <w:rPr>
      <w:rFonts w:ascii="Tahoma" w:eastAsia="宋体" w:hAnsi="Tahoma" w:cs="Times New Roman"/>
      <w:sz w:val="24"/>
      <w:szCs w:val="20"/>
    </w:rPr>
  </w:style>
  <w:style w:type="paragraph" w:customStyle="1" w:styleId="20">
    <w:name w:val="样式2"/>
    <w:basedOn w:val="Title"/>
    <w:next w:val="12"/>
    <w:qFormat/>
    <w:pPr>
      <w:spacing w:before="120" w:after="120"/>
    </w:pPr>
    <w:rPr>
      <w:rFonts w:ascii="Times New Roman" w:eastAsia="黑体" w:hAnsi="Times New Roman" w:cs="Times New Roman"/>
      <w:b w:val="0"/>
      <w:sz w:val="30"/>
      <w:szCs w:val="30"/>
    </w:rPr>
  </w:style>
  <w:style w:type="paragraph" w:customStyle="1" w:styleId="6">
    <w:name w:val="6"/>
    <w:basedOn w:val="5"/>
    <w:pPr>
      <w:spacing w:line="270" w:lineRule="atLeast"/>
      <w:jc w:val="both"/>
    </w:pPr>
    <w:rPr>
      <w:rFonts w:ascii="Times New Roman" w:eastAsia="宋体" w:hAnsi="Times New Roman" w:cs="Times New Roman"/>
      <w:b w:val="0"/>
      <w:bCs w:val="0"/>
    </w:rPr>
  </w:style>
  <w:style w:type="paragraph" w:customStyle="1" w:styleId="xl34">
    <w:name w:val="xl34"/>
    <w:basedOn w:val="Normal"/>
    <w:pPr>
      <w:widowControl/>
      <w:pBdr>
        <w:lef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9">
    <w:name w:val="9"/>
    <w:basedOn w:val="Normal"/>
    <w:next w:val="NormalIndent"/>
    <w:pPr>
      <w:autoSpaceDE w:val="0"/>
      <w:autoSpaceDN w:val="0"/>
      <w:adjustRightInd w:val="0"/>
      <w:ind w:firstLine="420"/>
      <w:jc w:val="left"/>
      <w:textAlignment w:val="baseline"/>
    </w:pPr>
    <w:rPr>
      <w:rFonts w:ascii="宋体" w:eastAsia="宋体" w:hAnsi="Times New Roman" w:cs="Times New Roman"/>
      <w:kern w:val="0"/>
      <w:sz w:val="34"/>
      <w:szCs w:val="20"/>
    </w:rPr>
  </w:style>
  <w:style w:type="paragraph" w:customStyle="1" w:styleId="a18">
    <w:name w:val="正文(首行缩进)"/>
    <w:qFormat/>
    <w:pPr>
      <w:spacing w:line="360" w:lineRule="auto"/>
      <w:ind w:firstLine="488" w:firstLineChars="200"/>
      <w:jc w:val="both"/>
    </w:pPr>
    <w:rPr>
      <w:rFonts w:ascii="Times New Roman" w:eastAsia="仿宋_GB2312" w:hAnsi="Times New Roman" w:cs="Times New Roman"/>
      <w:spacing w:val="2"/>
      <w:sz w:val="24"/>
      <w:szCs w:val="24"/>
      <w:lang w:val="en-US" w:eastAsia="zh-CN" w:bidi="ar-SA"/>
    </w:rPr>
  </w:style>
  <w:style w:type="paragraph" w:customStyle="1" w:styleId="a19">
    <w:name w:val="表格字"/>
    <w:basedOn w:val="Normal"/>
    <w:qFormat/>
    <w:pPr>
      <w:adjustRightInd w:val="0"/>
      <w:jc w:val="center"/>
    </w:pPr>
    <w:rPr>
      <w:rFonts w:ascii="宋体" w:eastAsia="宋体" w:hAnsi="Times New Roman" w:cs="Times New Roman"/>
      <w:sz w:val="24"/>
      <w:szCs w:val="20"/>
    </w:rPr>
  </w:style>
  <w:style w:type="paragraph" w:customStyle="1" w:styleId="13">
    <w:name w:val="小标题 1"/>
    <w:basedOn w:val="Normal"/>
    <w:qFormat/>
    <w:pPr>
      <w:autoSpaceDE w:val="0"/>
      <w:autoSpaceDN w:val="0"/>
      <w:adjustRightInd w:val="0"/>
      <w:spacing w:line="360" w:lineRule="atLeast"/>
    </w:pPr>
    <w:rPr>
      <w:rFonts w:ascii="文鼎粗黑" w:eastAsia="文鼎粗黑" w:hAnsi="Times New Roman" w:cs="Times New Roman"/>
      <w:kern w:val="0"/>
      <w:sz w:val="22"/>
      <w:szCs w:val="20"/>
    </w:rPr>
  </w:style>
  <w:style w:type="paragraph" w:customStyle="1" w:styleId="a20">
    <w:name w:val="文字"/>
    <w:basedOn w:val="Normal"/>
    <w:qFormat/>
    <w:pPr>
      <w:tabs>
        <w:tab w:val="left" w:pos="8520"/>
      </w:tabs>
      <w:spacing w:line="312" w:lineRule="auto"/>
      <w:ind w:right="-210" w:firstLine="556"/>
    </w:pPr>
    <w:rPr>
      <w:rFonts w:ascii="宋体" w:eastAsia="宋体" w:hAnsi="Times New Roman" w:cs="Times New Roman"/>
      <w:sz w:val="28"/>
      <w:szCs w:val="20"/>
    </w:rPr>
  </w:style>
  <w:style w:type="paragraph" w:customStyle="1" w:styleId="a21">
    <w:name w:val="封面标题"/>
    <w:basedOn w:val="Normal"/>
    <w:qFormat/>
    <w:pPr>
      <w:spacing w:line="360" w:lineRule="auto"/>
      <w:jc w:val="center"/>
    </w:pPr>
    <w:rPr>
      <w:rFonts w:ascii="Times New Roman" w:eastAsia="黑体" w:hAnsi="Times New Roman" w:cs="Times New Roman"/>
      <w:sz w:val="48"/>
      <w:szCs w:val="20"/>
    </w:rPr>
  </w:style>
  <w:style w:type="paragraph" w:customStyle="1" w:styleId="a22">
    <w:name w:val="段落正文"/>
    <w:basedOn w:val="PlainText"/>
    <w:qFormat/>
    <w:pPr>
      <w:ind w:firstLine="560" w:firstLineChars="200"/>
    </w:pPr>
    <w:rPr>
      <w:rFonts w:ascii="Times New Roman" w:eastAsia="宋体" w:hAnsi="Times New Roman" w:cs="Times New Roman"/>
      <w:sz w:val="28"/>
    </w:rPr>
  </w:style>
  <w:style w:type="paragraph" w:customStyle="1" w:styleId="14">
    <w:name w:val="修订1"/>
    <w:rPr>
      <w:rFonts w:ascii="Times New Roman" w:eastAsia="宋体" w:hAnsi="Times New Roman" w:cs="Times New Roman"/>
      <w:kern w:val="2"/>
      <w:sz w:val="21"/>
      <w:szCs w:val="24"/>
      <w:lang w:val="en-US" w:eastAsia="zh-CN" w:bidi="ar-SA"/>
    </w:rPr>
  </w:style>
  <w:style w:type="table" w:customStyle="1" w:styleId="TableNormal0">
    <w:name w:val="Table Normal_0"/>
    <w:rPr>
      <w:rFonts w:ascii="Times New Roman" w:eastAsia="宋体" w:hAnsi="Times New Roman"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footer" Target="footer1.xml"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77</Pages>
  <Words>20524</Words>
  <Characters>21190</Characters>
  <Application>Microsoft Office Word</Application>
  <DocSecurity>0</DocSecurity>
  <Lines>448</Lines>
  <Paragraphs>126</Paragraphs>
  <ScaleCrop>false</ScaleCrop>
  <Company>mycomputer</Company>
  <LinksUpToDate>false</LinksUpToDate>
  <CharactersWithSpaces>21407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中正招标 党工</cp:lastModifiedBy>
  <cp:revision>413</cp:revision>
  <cp:lastPrinted>2019-10-21T08:50:00Z</cp:lastPrinted>
  <dcterms:created xsi:type="dcterms:W3CDTF">2020-09-24T06:11:00Z</dcterms:created>
  <dcterms:modified xsi:type="dcterms:W3CDTF">2026-02-09T08:50:02Z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2E710EA47CDA4F55AAAADA4E82C48920_13</vt:lpwstr>
  </property>
  <property fmtid="{D5CDD505-2E9C-101B-9397-08002B2CF9AE}" pid="3" name="KSOProductBuildVer">
    <vt:lpwstr>2052-12.1.0.25225</vt:lpwstr>
  </property>
  <property fmtid="{D5CDD505-2E9C-101B-9397-08002B2CF9AE}" pid="4" name="KSOTemplateDocerSaveRecord">
    <vt:lpwstr>eyJoZGlkIjoiMzc3NDQ3NDMwNDI1NjM4YWE2ZmE5MjkzN2JmZGM2OTgiLCJ1c2VySWQiOiI0NjMwNjU1NzcifQ==</vt:lpwstr>
  </property>
</Properties>
</file>